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2989" w14:textId="6946D1BE" w:rsidR="008E1000" w:rsidRPr="00F0514A" w:rsidRDefault="00DD0500" w:rsidP="00922412">
      <w:pPr>
        <w:ind w:left="-540" w:right="-514"/>
        <w:jc w:val="center"/>
        <w:rPr>
          <w:rFonts w:ascii="Avenir Next LT Pro" w:hAnsi="Avenir Next LT Pro"/>
          <w:b/>
          <w:sz w:val="28"/>
          <w:szCs w:val="28"/>
        </w:rPr>
      </w:pPr>
      <w:r w:rsidRPr="00F0514A">
        <w:rPr>
          <w:rFonts w:ascii="Avenir Next LT Pro" w:hAnsi="Avenir Next LT Pro"/>
          <w:noProof/>
        </w:rPr>
        <w:drawing>
          <wp:anchor distT="0" distB="0" distL="114300" distR="114300" simplePos="0" relativeHeight="251658240" behindDoc="1" locked="0" layoutInCell="1" allowOverlap="1" wp14:anchorId="5CE95ECE" wp14:editId="7E059E52">
            <wp:simplePos x="0" y="0"/>
            <wp:positionH relativeFrom="column">
              <wp:posOffset>3314700</wp:posOffset>
            </wp:positionH>
            <wp:positionV relativeFrom="paragraph">
              <wp:posOffset>-510540</wp:posOffset>
            </wp:positionV>
            <wp:extent cx="2431415" cy="790575"/>
            <wp:effectExtent l="0" t="0" r="0" b="0"/>
            <wp:wrapNone/>
            <wp:docPr id="16258697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8F21AA" w14:textId="77777777" w:rsidR="008E1000" w:rsidRPr="00F0514A" w:rsidRDefault="008E1000" w:rsidP="00922412">
      <w:pPr>
        <w:ind w:left="-540" w:right="-514"/>
        <w:jc w:val="center"/>
        <w:rPr>
          <w:rFonts w:ascii="Avenir Next LT Pro" w:hAnsi="Avenir Next LT Pro"/>
          <w:b/>
          <w:sz w:val="28"/>
          <w:szCs w:val="28"/>
        </w:rPr>
      </w:pPr>
    </w:p>
    <w:p w14:paraId="490B801A" w14:textId="77777777" w:rsidR="008E1000" w:rsidRPr="00F0514A" w:rsidRDefault="008E1000" w:rsidP="004C4E65">
      <w:pPr>
        <w:ind w:right="-514"/>
        <w:rPr>
          <w:rFonts w:ascii="Avenir Next LT Pro" w:hAnsi="Avenir Next LT Pro"/>
          <w:b/>
          <w:sz w:val="28"/>
          <w:szCs w:val="28"/>
        </w:rPr>
      </w:pPr>
    </w:p>
    <w:p w14:paraId="593E3D56" w14:textId="77777777" w:rsidR="008E7AFF" w:rsidRPr="00F0514A" w:rsidRDefault="008E7AFF" w:rsidP="00922412">
      <w:pPr>
        <w:ind w:left="-540" w:right="-514"/>
        <w:jc w:val="center"/>
        <w:rPr>
          <w:rFonts w:ascii="Avenir Next LT Pro" w:hAnsi="Avenir Next LT Pro"/>
          <w:b/>
          <w:sz w:val="28"/>
          <w:szCs w:val="28"/>
        </w:rPr>
      </w:pPr>
      <w:r w:rsidRPr="00F0514A">
        <w:rPr>
          <w:rFonts w:ascii="Avenir Next LT Pro" w:hAnsi="Avenir Next LT Pro"/>
          <w:b/>
          <w:sz w:val="28"/>
          <w:szCs w:val="28"/>
        </w:rPr>
        <w:t>Hands Up Scotland Data Request Guidelines</w:t>
      </w:r>
    </w:p>
    <w:p w14:paraId="43C3E88E" w14:textId="77777777" w:rsidR="008E7AFF" w:rsidRPr="00F0514A" w:rsidRDefault="008E7AFF" w:rsidP="00922412">
      <w:pPr>
        <w:pStyle w:val="Heading1"/>
        <w:ind w:left="-540" w:right="-514"/>
        <w:rPr>
          <w:rFonts w:ascii="Avenir Next LT Pro" w:hAnsi="Avenir Next LT Pro"/>
          <w:lang w:eastAsia="en-US"/>
        </w:rPr>
      </w:pPr>
    </w:p>
    <w:p w14:paraId="4DBD6108" w14:textId="77777777" w:rsidR="008E1000" w:rsidRPr="00F0514A" w:rsidRDefault="008E1000" w:rsidP="008E1000">
      <w:pPr>
        <w:rPr>
          <w:rFonts w:ascii="Avenir Next LT Pro" w:hAnsi="Avenir Next LT Pro"/>
          <w:lang w:eastAsia="en-US"/>
        </w:rPr>
      </w:pPr>
    </w:p>
    <w:p w14:paraId="75405AC0" w14:textId="77777777" w:rsidR="008E7AFF" w:rsidRPr="00F0514A" w:rsidRDefault="008E7AFF" w:rsidP="00922412">
      <w:pPr>
        <w:pStyle w:val="Heading1"/>
        <w:spacing w:after="165"/>
        <w:ind w:left="-539" w:right="-516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>Overview</w:t>
      </w:r>
    </w:p>
    <w:p w14:paraId="40E678B4" w14:textId="5928B25D" w:rsidR="008E7AFF" w:rsidRPr="00F0514A" w:rsidRDefault="008E7AFF" w:rsidP="00922412">
      <w:pPr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The purpose of this paper is to set out advice and guidance in requesting access to a customised Hands Up Scotland dataset, to allow detailed analysis to be undertaken. 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The accompanying data request form </w:t>
      </w:r>
      <w:r w:rsidRPr="00F0514A">
        <w:rPr>
          <w:rFonts w:ascii="Avenir Next LT Pro" w:hAnsi="Avenir Next LT Pro"/>
          <w:sz w:val="22"/>
          <w:szCs w:val="22"/>
          <w:lang w:eastAsia="en-US"/>
        </w:rPr>
        <w:t>sets out the information required by</w:t>
      </w:r>
      <w:r w:rsidR="00FE09F5" w:rsidRPr="00F0514A">
        <w:rPr>
          <w:rFonts w:ascii="Avenir Next LT Pro" w:hAnsi="Avenir Next LT Pro"/>
          <w:sz w:val="22"/>
          <w:szCs w:val="22"/>
          <w:lang w:eastAsia="en-US"/>
        </w:rPr>
        <w:t xml:space="preserve"> Walk Wheel Cycle Trust</w:t>
      </w:r>
      <w:r w:rsidR="00B33952" w:rsidRPr="00F0514A">
        <w:rPr>
          <w:rFonts w:ascii="Avenir Next LT Pro" w:hAnsi="Avenir Next LT Pro"/>
          <w:sz w:val="22"/>
          <w:szCs w:val="22"/>
          <w:lang w:eastAsia="en-US"/>
        </w:rPr>
        <w:t xml:space="preserve"> (d</w:t>
      </w:r>
      <w:r w:rsidR="00657C55" w:rsidRPr="00F0514A">
        <w:rPr>
          <w:rFonts w:ascii="Avenir Next LT Pro" w:hAnsi="Avenir Next LT Pro"/>
          <w:sz w:val="22"/>
          <w:szCs w:val="22"/>
          <w:lang w:eastAsia="en-US"/>
        </w:rPr>
        <w:t>esignated providers of the Hands Up Scotland Official Statistic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>)</w:t>
      </w:r>
      <w:r w:rsidR="00657C55" w:rsidRPr="00F0514A">
        <w:rPr>
          <w:rFonts w:ascii="Avenir Next LT Pro" w:hAnsi="Avenir Next LT Pro"/>
          <w:sz w:val="22"/>
          <w:szCs w:val="22"/>
          <w:lang w:eastAsia="en-US"/>
        </w:rPr>
        <w:t>,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 to assess the rationale and usage of the dataset, before granting a</w:t>
      </w:r>
      <w:r w:rsidR="00657C55" w:rsidRPr="00F0514A">
        <w:rPr>
          <w:rFonts w:ascii="Avenir Next LT Pro" w:hAnsi="Avenir Next LT Pro"/>
          <w:sz w:val="22"/>
          <w:szCs w:val="22"/>
          <w:lang w:eastAsia="en-US"/>
        </w:rPr>
        <w:t xml:space="preserve">pproval for access to </w:t>
      </w:r>
      <w:r w:rsidR="002A088F" w:rsidRPr="00F0514A">
        <w:rPr>
          <w:rFonts w:ascii="Avenir Next LT Pro" w:hAnsi="Avenir Next LT Pro"/>
          <w:sz w:val="22"/>
          <w:szCs w:val="22"/>
          <w:lang w:eastAsia="en-US"/>
        </w:rPr>
        <w:t>the requested data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>.</w:t>
      </w:r>
    </w:p>
    <w:p w14:paraId="64B15C18" w14:textId="77777777" w:rsidR="008E7AFF" w:rsidRPr="00F0514A" w:rsidRDefault="008E7AFF" w:rsidP="00922412">
      <w:pPr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0326E23C" w14:textId="77777777" w:rsidR="008E1000" w:rsidRPr="00F0514A" w:rsidRDefault="008E1000" w:rsidP="00922412">
      <w:pPr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05C1BF4A" w14:textId="77777777" w:rsidR="008E7AFF" w:rsidRPr="00F0514A" w:rsidRDefault="008E7AFF" w:rsidP="00922412">
      <w:pPr>
        <w:pStyle w:val="Heading1"/>
        <w:spacing w:before="165" w:after="165"/>
        <w:ind w:left="-540" w:right="-514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>Background</w:t>
      </w:r>
    </w:p>
    <w:p w14:paraId="74D422CB" w14:textId="094F8191" w:rsidR="008E7AFF" w:rsidRPr="00F0514A" w:rsidRDefault="008E7AFF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The Hands Up Scotland Survey is the largest national dataset to look at mode of travel to school across </w:t>
      </w:r>
      <w:smartTag w:uri="urn:schemas-microsoft-com:office:smarttags" w:element="country-region">
        <w:smartTag w:uri="urn:schemas-microsoft-com:office:smarttags" w:element="place">
          <w:r w:rsidRPr="00F0514A">
            <w:rPr>
              <w:rFonts w:ascii="Avenir Next LT Pro" w:hAnsi="Avenir Next LT Pro"/>
              <w:sz w:val="22"/>
              <w:szCs w:val="22"/>
              <w:lang w:eastAsia="en-US"/>
            </w:rPr>
            <w:t>Scotland</w:t>
          </w:r>
        </w:smartTag>
      </w:smartTag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. The Survey is a joint project between </w:t>
      </w:r>
      <w:r w:rsidR="003361F0" w:rsidRPr="00F0514A">
        <w:rPr>
          <w:rFonts w:ascii="Avenir Next LT Pro" w:hAnsi="Avenir Next LT Pro"/>
          <w:sz w:val="22"/>
          <w:szCs w:val="22"/>
          <w:lang w:eastAsia="en-US"/>
        </w:rPr>
        <w:t>Walk Wheel Cycle Trust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 and Scottish local authorities. The Survey was first conducted in 2008 in partnership with School Travel Co-ordinators across </w:t>
      </w:r>
      <w:smartTag w:uri="urn:schemas-microsoft-com:office:smarttags" w:element="place">
        <w:smartTag w:uri="urn:schemas-microsoft-com:office:smarttags" w:element="country-region">
          <w:r w:rsidRPr="00F0514A">
            <w:rPr>
              <w:rFonts w:ascii="Avenir Next LT Pro" w:hAnsi="Avenir Next LT Pro"/>
              <w:sz w:val="22"/>
              <w:szCs w:val="22"/>
              <w:lang w:eastAsia="en-US"/>
            </w:rPr>
            <w:t>Scotland</w:t>
          </w:r>
        </w:smartTag>
      </w:smartTag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.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>Since 2008, t</w:t>
      </w:r>
      <w:r w:rsidRPr="00F0514A">
        <w:rPr>
          <w:rFonts w:ascii="Avenir Next LT Pro" w:hAnsi="Avenir Next LT Pro"/>
          <w:sz w:val="22"/>
          <w:szCs w:val="22"/>
          <w:lang w:eastAsia="en-US"/>
        </w:rPr>
        <w:t>he process has been repeated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 annually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 using the same methodology. </w:t>
      </w:r>
    </w:p>
    <w:p w14:paraId="15F12E99" w14:textId="4A2A3ABE" w:rsidR="00D03D08" w:rsidRPr="00F0514A" w:rsidRDefault="008E7AFF" w:rsidP="00922412">
      <w:pPr>
        <w:autoSpaceDE w:val="0"/>
        <w:autoSpaceDN w:val="0"/>
        <w:adjustRightInd w:val="0"/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The Hands Up Scotland Survey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takes place 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in the autumn of each year. Data collection is conducted by schools, instructed by their local authority officer, with support from </w:t>
      </w:r>
      <w:r w:rsidR="003361F0" w:rsidRPr="00F0514A">
        <w:rPr>
          <w:rFonts w:ascii="Avenir Next LT Pro" w:hAnsi="Avenir Next LT Pro"/>
          <w:sz w:val="22"/>
          <w:szCs w:val="22"/>
          <w:lang w:eastAsia="en-US"/>
        </w:rPr>
        <w:t>Walk Wheel Cycle Trust</w:t>
      </w:r>
      <w:r w:rsidRPr="00F0514A">
        <w:rPr>
          <w:rFonts w:ascii="Avenir Next LT Pro" w:hAnsi="Avenir Next LT Pro"/>
          <w:sz w:val="22"/>
          <w:szCs w:val="22"/>
          <w:lang w:eastAsia="en-US"/>
        </w:rPr>
        <w:t>. Data collection takes place in the same week in September each year.</w:t>
      </w:r>
    </w:p>
    <w:p w14:paraId="0947BD53" w14:textId="4000B7F7" w:rsidR="008E7AFF" w:rsidRPr="00F0514A" w:rsidRDefault="008E7AFF" w:rsidP="00922412">
      <w:pPr>
        <w:autoSpaceDE w:val="0"/>
        <w:autoSpaceDN w:val="0"/>
        <w:adjustRightInd w:val="0"/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The question asked in the Hands Up Scotland Survey is, ‘How do you normally travel to school?’, with the following response options: Walk, Cycle, Scooter/Skate, Park and Stride (driven part of the way and walk the rest), Driven, Bus, Taxi and Other. Completed forms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are either submitted directly to </w:t>
      </w:r>
      <w:r w:rsidR="003361F0" w:rsidRPr="00F0514A">
        <w:rPr>
          <w:rFonts w:ascii="Avenir Next LT Pro" w:hAnsi="Avenir Next LT Pro"/>
          <w:sz w:val="22"/>
          <w:szCs w:val="22"/>
          <w:lang w:eastAsia="en-US"/>
        </w:rPr>
        <w:t xml:space="preserve">Walk Wheel Cycle Trust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online or 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are returned by the school to their local authority, who collate school-level datasets and return the data to </w:t>
      </w:r>
      <w:r w:rsidR="003361F0" w:rsidRPr="00F0514A">
        <w:rPr>
          <w:rFonts w:ascii="Avenir Next LT Pro" w:hAnsi="Avenir Next LT Pro"/>
          <w:sz w:val="22"/>
          <w:szCs w:val="22"/>
          <w:lang w:eastAsia="en-US"/>
        </w:rPr>
        <w:t>Walk Wheel Cycle Trust</w:t>
      </w:r>
      <w:r w:rsidRPr="00F0514A">
        <w:rPr>
          <w:rFonts w:ascii="Avenir Next LT Pro" w:hAnsi="Avenir Next LT Pro"/>
          <w:sz w:val="22"/>
          <w:szCs w:val="22"/>
          <w:lang w:eastAsia="en-US"/>
        </w:rPr>
        <w:t>. Overall collation, analysis and reporting is conducted by</w:t>
      </w:r>
      <w:r w:rsidR="00F0514A" w:rsidRPr="00F0514A">
        <w:rPr>
          <w:rFonts w:ascii="Avenir Next LT Pro" w:hAnsi="Avenir Next LT Pro"/>
          <w:sz w:val="22"/>
          <w:szCs w:val="22"/>
          <w:lang w:eastAsia="en-US"/>
        </w:rPr>
        <w:t xml:space="preserve"> Walk Wheel Cycle Trust</w:t>
      </w:r>
      <w:r w:rsidRPr="00F0514A">
        <w:rPr>
          <w:rFonts w:ascii="Avenir Next LT Pro" w:hAnsi="Avenir Next LT Pro"/>
          <w:sz w:val="22"/>
          <w:szCs w:val="22"/>
          <w:lang w:eastAsia="en-US"/>
        </w:rPr>
        <w:t>.</w:t>
      </w:r>
    </w:p>
    <w:p w14:paraId="2036DFF6" w14:textId="77777777" w:rsidR="008E7AFF" w:rsidRPr="00F0514A" w:rsidRDefault="008E7AFF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743AACCB" w14:textId="77777777" w:rsidR="008E1000" w:rsidRPr="00F0514A" w:rsidRDefault="008E1000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0A03CC14" w14:textId="77777777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/>
          <w:b/>
          <w:sz w:val="22"/>
          <w:szCs w:val="22"/>
        </w:rPr>
      </w:pPr>
      <w:r w:rsidRPr="00F0514A">
        <w:rPr>
          <w:rFonts w:ascii="Avenir Next LT Pro" w:hAnsi="Avenir Next LT Pro"/>
          <w:b/>
          <w:sz w:val="22"/>
          <w:szCs w:val="22"/>
        </w:rPr>
        <w:t>Accessing Hands Up Scotland Data</w:t>
      </w:r>
    </w:p>
    <w:p w14:paraId="4EB8D722" w14:textId="28FAD896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The simplest way to view Hands Up Scotland results is to examine the reports that have already been published. The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most recent, published 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Hands Up Scotland </w:t>
      </w:r>
      <w:r w:rsidR="003C5473" w:rsidRPr="00F0514A">
        <w:rPr>
          <w:rFonts w:ascii="Avenir Next LT Pro" w:hAnsi="Avenir Next LT Pro"/>
          <w:sz w:val="22"/>
          <w:szCs w:val="22"/>
          <w:lang w:eastAsia="en-US"/>
        </w:rPr>
        <w:t>National R</w:t>
      </w:r>
      <w:r w:rsidRPr="00F0514A">
        <w:rPr>
          <w:rFonts w:ascii="Avenir Next LT Pro" w:hAnsi="Avenir Next LT Pro"/>
          <w:sz w:val="22"/>
          <w:szCs w:val="22"/>
          <w:lang w:eastAsia="en-US"/>
        </w:rPr>
        <w:t>esults</w:t>
      </w:r>
      <w:r w:rsidR="003C5473" w:rsidRPr="00F0514A">
        <w:rPr>
          <w:rFonts w:ascii="Avenir Next LT Pro" w:hAnsi="Avenir Next LT Pro"/>
          <w:sz w:val="22"/>
          <w:szCs w:val="22"/>
          <w:lang w:eastAsia="en-US"/>
        </w:rPr>
        <w:t xml:space="preserve"> (xls) and N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ational </w:t>
      </w:r>
      <w:r w:rsidR="003C5473" w:rsidRPr="00F0514A">
        <w:rPr>
          <w:rFonts w:ascii="Avenir Next LT Pro" w:hAnsi="Avenir Next LT Pro"/>
          <w:sz w:val="22"/>
          <w:szCs w:val="22"/>
          <w:lang w:eastAsia="en-US"/>
        </w:rPr>
        <w:t>Results S</w:t>
      </w:r>
      <w:r w:rsidRPr="00F0514A">
        <w:rPr>
          <w:rFonts w:ascii="Avenir Next LT Pro" w:hAnsi="Avenir Next LT Pro"/>
          <w:sz w:val="22"/>
          <w:szCs w:val="22"/>
          <w:lang w:eastAsia="en-US"/>
        </w:rPr>
        <w:t>ummary</w:t>
      </w:r>
      <w:r w:rsidR="003C5473" w:rsidRPr="00F0514A">
        <w:rPr>
          <w:rFonts w:ascii="Avenir Next LT Pro" w:hAnsi="Avenir Next LT Pro"/>
          <w:sz w:val="22"/>
          <w:szCs w:val="22"/>
          <w:lang w:eastAsia="en-US"/>
        </w:rPr>
        <w:t xml:space="preserve"> (pdf)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 are currently available on </w:t>
      </w:r>
      <w:hyperlink r:id="rId10" w:history="1">
        <w:r w:rsidR="000B30E3">
          <w:rPr>
            <w:rStyle w:val="Hyperlink"/>
            <w:rFonts w:ascii="Avenir Next LT Pro" w:hAnsi="Avenir Next LT Pro"/>
            <w:sz w:val="22"/>
            <w:szCs w:val="22"/>
          </w:rPr>
          <w:t>Walk Wheel Cycle Trust's website</w:t>
        </w:r>
      </w:hyperlink>
      <w:r w:rsidRPr="00F0514A">
        <w:rPr>
          <w:rFonts w:ascii="Avenir Next LT Pro" w:hAnsi="Avenir Next LT Pro"/>
          <w:sz w:val="22"/>
          <w:szCs w:val="22"/>
        </w:rPr>
        <w:t xml:space="preserve">. These documents 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contain data for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>all published years of the survey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. 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Publication of these documents takes place in May.  </w:t>
      </w:r>
    </w:p>
    <w:p w14:paraId="461A0D31" w14:textId="6113A17B" w:rsidR="002A088F" w:rsidRPr="00F0514A" w:rsidRDefault="008E7AFF" w:rsidP="00D03D08">
      <w:pPr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</w:rPr>
        <w:t>Where these documents do not provide the information you require, or where the data is not provided in a usable format, a data request can be submitted.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 This should allow users to undertake more detailed analyses for a specific project.  Such requests should be made to </w:t>
      </w:r>
      <w:r w:rsidR="000B30E3">
        <w:rPr>
          <w:rFonts w:ascii="Avenir Next LT Pro" w:hAnsi="Avenir Next LT Pro"/>
          <w:sz w:val="22"/>
          <w:szCs w:val="22"/>
          <w:lang w:eastAsia="en-US"/>
        </w:rPr>
        <w:t>Walk Wheel Cycle Trust</w:t>
      </w:r>
      <w:r w:rsidRPr="00F0514A">
        <w:rPr>
          <w:rFonts w:ascii="Avenir Next LT Pro" w:hAnsi="Avenir Next LT Pro"/>
          <w:sz w:val="22"/>
          <w:szCs w:val="22"/>
          <w:lang w:eastAsia="en-US"/>
        </w:rPr>
        <w:t>.</w:t>
      </w:r>
    </w:p>
    <w:p w14:paraId="6186468B" w14:textId="77777777" w:rsidR="00D03D08" w:rsidRPr="00F0514A" w:rsidRDefault="00D03D08" w:rsidP="00D03D08">
      <w:pPr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774D1EA8" w14:textId="77777777" w:rsidR="00D03D08" w:rsidRPr="00F0514A" w:rsidRDefault="00D03D08" w:rsidP="00D03D08">
      <w:pPr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649DFCE7" w14:textId="77777777" w:rsidR="00D03D08" w:rsidRPr="00F0514A" w:rsidRDefault="00D03D08" w:rsidP="00D03D08">
      <w:pPr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1BFC1D16" w14:textId="77777777" w:rsidR="00D03D08" w:rsidRPr="00F0514A" w:rsidRDefault="00D03D08" w:rsidP="00D03D08">
      <w:pPr>
        <w:spacing w:before="165"/>
        <w:ind w:left="-539" w:right="-516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2D81C325" w14:textId="77777777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b/>
          <w:sz w:val="22"/>
          <w:szCs w:val="22"/>
          <w:lang w:eastAsia="en-US"/>
        </w:rPr>
        <w:t>Data Availability</w:t>
      </w:r>
    </w:p>
    <w:p w14:paraId="6628286C" w14:textId="46A805D1" w:rsidR="008E7AFF" w:rsidRPr="00F0514A" w:rsidRDefault="008E7AFF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All local authorities are invited to take part in the national Hands Up Scotland Survey. </w:t>
      </w:r>
      <w:r w:rsidR="004A604C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Detailed sample size information is available in Tables 1.1 – 1.7 of the </w:t>
      </w:r>
      <w:r w:rsidR="004A604C" w:rsidRPr="00F0514A">
        <w:rPr>
          <w:rFonts w:ascii="Avenir Next LT Pro" w:hAnsi="Avenir Next LT Pro"/>
          <w:sz w:val="22"/>
          <w:szCs w:val="22"/>
          <w:lang w:eastAsia="en-US"/>
        </w:rPr>
        <w:t xml:space="preserve">Hands Up Scotland National Results (xls) document available on </w:t>
      </w:r>
      <w:hyperlink r:id="rId11" w:history="1">
        <w:r w:rsidR="00457599">
          <w:rPr>
            <w:rStyle w:val="Hyperlink"/>
            <w:rFonts w:ascii="Avenir Next LT Pro" w:hAnsi="Avenir Next LT Pro"/>
            <w:sz w:val="22"/>
            <w:szCs w:val="22"/>
          </w:rPr>
          <w:t>Walk Wheel Cycle Trust's website</w:t>
        </w:r>
      </w:hyperlink>
      <w:r w:rsidR="004A604C" w:rsidRPr="00F0514A">
        <w:rPr>
          <w:rFonts w:ascii="Avenir Next LT Pro" w:hAnsi="Avenir Next LT Pro"/>
          <w:sz w:val="22"/>
          <w:szCs w:val="22"/>
        </w:rPr>
        <w:t>.</w:t>
      </w:r>
    </w:p>
    <w:p w14:paraId="2DA3B59A" w14:textId="77777777" w:rsidR="008E1000" w:rsidRPr="00F0514A" w:rsidRDefault="008E1000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</w:p>
    <w:p w14:paraId="7C7AA890" w14:textId="43F2C39B" w:rsidR="008E7AFF" w:rsidRPr="00F0514A" w:rsidRDefault="008E7AFF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>The response rates as a percentage of the school roll have been calculated using the Scottish Government’s school statistics. T</w:t>
      </w:r>
      <w:r w:rsidR="004A604C" w:rsidRPr="00F0514A">
        <w:rPr>
          <w:rFonts w:ascii="Avenir Next LT Pro" w:hAnsi="Avenir Next LT Pro" w:cs="Helvetica55Roman"/>
          <w:color w:val="000000"/>
          <w:sz w:val="22"/>
          <w:szCs w:val="22"/>
        </w:rPr>
        <w:t>hese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percentage</w:t>
      </w:r>
      <w:r w:rsidR="004A604C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s have been calculated for 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>state primary</w:t>
      </w:r>
      <w:r w:rsidR="004A604C" w:rsidRPr="00F0514A">
        <w:rPr>
          <w:rFonts w:ascii="Avenir Next LT Pro" w:hAnsi="Avenir Next LT Pro" w:cs="Helvetica55Roman"/>
          <w:color w:val="000000"/>
          <w:sz w:val="22"/>
          <w:szCs w:val="22"/>
        </w:rPr>
        <w:t>,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secondary and SEN schools</w:t>
      </w:r>
      <w:r w:rsidR="004A604C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, and aggregate figures for all state schools have been reported on a national level. Response rates as a percentage of the school roll are not available for 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>independent or nursery schools</w:t>
      </w:r>
      <w:r w:rsidR="004A604C" w:rsidRPr="00F0514A">
        <w:rPr>
          <w:rFonts w:ascii="Avenir Next LT Pro" w:hAnsi="Avenir Next LT Pro" w:cs="Helvetica55Roman"/>
          <w:color w:val="000000"/>
          <w:sz w:val="22"/>
          <w:szCs w:val="22"/>
        </w:rPr>
        <w:t>.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This is because the Scottish Government does not collect school roll data for these school types</w:t>
      </w:r>
      <w:r w:rsidR="00395FE3" w:rsidRPr="00F0514A">
        <w:rPr>
          <w:rFonts w:ascii="Avenir Next LT Pro" w:hAnsi="Avenir Next LT Pro" w:cs="Helvetica55Roman"/>
          <w:color w:val="000000"/>
          <w:sz w:val="22"/>
          <w:szCs w:val="22"/>
        </w:rPr>
        <w:t>,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therefore</w:t>
      </w:r>
      <w:r w:rsidR="00395FE3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it is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not possible to calculate the response rates from pupils at these schools as a percentage of the equivalent national school roll. This limitation also applies at a local authority level.</w:t>
      </w:r>
    </w:p>
    <w:p w14:paraId="08A1916E" w14:textId="77777777" w:rsidR="008E1000" w:rsidRPr="00F0514A" w:rsidRDefault="008E1000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</w:p>
    <w:p w14:paraId="3954D8D7" w14:textId="0A779D94" w:rsidR="008E7AFF" w:rsidRPr="00F0514A" w:rsidRDefault="008E7AFF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It is important </w:t>
      </w:r>
      <w:r w:rsidR="002A088F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to note that 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the same local authorities and schools may not respond each year. Where data is not available, values are replaced with a dash (-). As we do not record the names of respondents, we do not know whether the same pupils are responding every year. The data is not weighted to take this into account </w:t>
      </w:r>
      <w:r w:rsidR="002A088F" w:rsidRPr="00F0514A">
        <w:rPr>
          <w:rFonts w:ascii="Avenir Next LT Pro" w:hAnsi="Avenir Next LT Pro" w:cs="Helvetica55Roman"/>
          <w:color w:val="000000"/>
          <w:sz w:val="22"/>
          <w:szCs w:val="22"/>
        </w:rPr>
        <w:t>therefore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this may impact on the results. </w:t>
      </w:r>
    </w:p>
    <w:p w14:paraId="070F8C92" w14:textId="77777777" w:rsidR="008E1000" w:rsidRPr="00F0514A" w:rsidRDefault="008E1000" w:rsidP="00922412">
      <w:pPr>
        <w:spacing w:before="165" w:after="165"/>
        <w:ind w:left="-540" w:right="-514"/>
        <w:jc w:val="both"/>
        <w:rPr>
          <w:rFonts w:ascii="Avenir Next LT Pro" w:hAnsi="Avenir Next LT Pro" w:cs="Arial"/>
          <w:sz w:val="22"/>
          <w:szCs w:val="22"/>
        </w:rPr>
      </w:pPr>
    </w:p>
    <w:p w14:paraId="7A90760E" w14:textId="77777777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At the request of the Scottish Government, the following method of data suppression was used for data confidentiality purposes:</w:t>
      </w:r>
    </w:p>
    <w:p w14:paraId="130E000F" w14:textId="77777777" w:rsidR="008E1000" w:rsidRPr="00F0514A" w:rsidRDefault="008E1000" w:rsidP="00922412">
      <w:pPr>
        <w:spacing w:before="165" w:after="165"/>
        <w:ind w:left="-540" w:right="-514"/>
        <w:jc w:val="both"/>
        <w:rPr>
          <w:rFonts w:ascii="Avenir Next LT Pro" w:hAnsi="Avenir Next LT Pro" w:cs="Arial"/>
          <w:b/>
          <w:sz w:val="22"/>
          <w:szCs w:val="22"/>
        </w:rPr>
      </w:pPr>
    </w:p>
    <w:p w14:paraId="1B24F46D" w14:textId="097E3FA5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b/>
          <w:sz w:val="22"/>
          <w:szCs w:val="22"/>
        </w:rPr>
        <w:t>Data suppression</w:t>
      </w:r>
      <w:r w:rsidR="00994730" w:rsidRPr="00F0514A">
        <w:rPr>
          <w:rFonts w:ascii="Avenir Next LT Pro" w:hAnsi="Avenir Next LT Pro" w:cs="Arial"/>
          <w:b/>
          <w:sz w:val="22"/>
          <w:szCs w:val="22"/>
        </w:rPr>
        <w:t xml:space="preserve">: </w:t>
      </w:r>
      <w:r w:rsidRPr="00F0514A">
        <w:rPr>
          <w:rFonts w:ascii="Avenir Next LT Pro" w:hAnsi="Avenir Next LT Pro" w:cs="Arial"/>
          <w:sz w:val="22"/>
          <w:szCs w:val="22"/>
        </w:rPr>
        <w:t>All percentages representing a value (i.e. number of pupils) between 1 and 4 have been blanked out with an asterisk (*).</w:t>
      </w:r>
    </w:p>
    <w:p w14:paraId="73C1BD2E" w14:textId="77777777" w:rsidR="008E1000" w:rsidRPr="00F0514A" w:rsidRDefault="008E1000" w:rsidP="00922412">
      <w:pPr>
        <w:spacing w:before="165" w:after="165"/>
        <w:ind w:left="-540" w:right="-514"/>
        <w:jc w:val="both"/>
        <w:rPr>
          <w:rFonts w:ascii="Avenir Next LT Pro" w:hAnsi="Avenir Next LT Pro" w:cs="Arial"/>
          <w:b/>
          <w:sz w:val="22"/>
          <w:szCs w:val="22"/>
        </w:rPr>
      </w:pPr>
    </w:p>
    <w:p w14:paraId="6A8387C4" w14:textId="4EE9B376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b/>
          <w:sz w:val="22"/>
          <w:szCs w:val="22"/>
        </w:rPr>
        <w:t>Secondary suppression</w:t>
      </w:r>
      <w:r w:rsidR="00994730" w:rsidRPr="00F0514A">
        <w:rPr>
          <w:rFonts w:ascii="Avenir Next LT Pro" w:hAnsi="Avenir Next LT Pro" w:cs="Arial"/>
          <w:b/>
          <w:sz w:val="22"/>
          <w:szCs w:val="22"/>
        </w:rPr>
        <w:t xml:space="preserve">: </w:t>
      </w:r>
      <w:r w:rsidRPr="00F0514A">
        <w:rPr>
          <w:rFonts w:ascii="Avenir Next LT Pro" w:hAnsi="Avenir Next LT Pro" w:cs="Arial"/>
          <w:sz w:val="22"/>
          <w:szCs w:val="22"/>
        </w:rPr>
        <w:t>In a row where only one percentage value has been suppressed, a second value has also been blanked out with an asterisk. This method of data suppression ensures that it is not possible to calculate the original figures with certainty.</w:t>
      </w:r>
    </w:p>
    <w:p w14:paraId="52FC665C" w14:textId="77777777" w:rsidR="008E1000" w:rsidRPr="00F0514A" w:rsidRDefault="008E1000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</w:p>
    <w:p w14:paraId="37EFB070" w14:textId="77777777" w:rsidR="008E7AFF" w:rsidRPr="00F0514A" w:rsidRDefault="008E7AFF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>Due to rounding, row percentages may not always add up to 100%.</w:t>
      </w:r>
    </w:p>
    <w:p w14:paraId="01508A70" w14:textId="77777777" w:rsidR="008E1000" w:rsidRPr="00F0514A" w:rsidRDefault="008E1000" w:rsidP="008E1000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</w:p>
    <w:p w14:paraId="09DBA4B0" w14:textId="356E61C7" w:rsidR="008E7AFF" w:rsidRPr="00F0514A" w:rsidRDefault="008E7AFF" w:rsidP="008E1000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Where the sample size is small (totalling less than 100), care should be taken when </w:t>
      </w:r>
      <w:r w:rsidR="008E1000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interpreting 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>results. It should also be noted that there are instances where sample sizes are small due to the size of the local authority. Moreover, fields/local authorities with a small number of responses may see large changes in percentage</w:t>
      </w:r>
      <w:r w:rsidR="00994730" w:rsidRPr="00F0514A">
        <w:rPr>
          <w:rFonts w:ascii="Avenir Next LT Pro" w:hAnsi="Avenir Next LT Pro" w:cs="Helvetica55Roman"/>
          <w:color w:val="000000"/>
          <w:sz w:val="22"/>
          <w:szCs w:val="22"/>
        </w:rPr>
        <w:t>s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between years</w:t>
      </w:r>
      <w:r w:rsidR="00615366"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. </w:t>
      </w:r>
    </w:p>
    <w:p w14:paraId="4A4997AE" w14:textId="77777777" w:rsidR="008E1000" w:rsidRPr="00F0514A" w:rsidRDefault="008E1000" w:rsidP="00922412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</w:p>
    <w:p w14:paraId="3363945F" w14:textId="4AD3498E" w:rsidR="00922412" w:rsidRPr="003F7398" w:rsidRDefault="008E7AFF" w:rsidP="003F7398">
      <w:pPr>
        <w:autoSpaceDE w:val="0"/>
        <w:autoSpaceDN w:val="0"/>
        <w:adjustRightInd w:val="0"/>
        <w:spacing w:before="165" w:after="165"/>
        <w:ind w:left="-540" w:right="-514"/>
        <w:jc w:val="both"/>
        <w:rPr>
          <w:rFonts w:ascii="Avenir Next LT Pro" w:hAnsi="Avenir Next LT Pro" w:cs="Helvetica55Roman"/>
          <w:color w:val="000000"/>
          <w:sz w:val="22"/>
          <w:szCs w:val="22"/>
        </w:rPr>
      </w:pP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It should be noted that weather conditions have an impact on travel choices. As the </w:t>
      </w:r>
      <w:r w:rsidR="00994730" w:rsidRPr="00F0514A">
        <w:rPr>
          <w:rFonts w:ascii="Avenir Next LT Pro" w:hAnsi="Avenir Next LT Pro" w:cs="Helvetica55Roman"/>
          <w:color w:val="000000"/>
          <w:sz w:val="22"/>
          <w:szCs w:val="22"/>
        </w:rPr>
        <w:t>s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>urvey is carried out over a short one week period</w:t>
      </w:r>
      <w:r w:rsidR="00994730" w:rsidRPr="00F0514A">
        <w:rPr>
          <w:rFonts w:ascii="Avenir Next LT Pro" w:hAnsi="Avenir Next LT Pro" w:cs="Helvetica55Roman"/>
          <w:color w:val="000000"/>
          <w:sz w:val="22"/>
          <w:szCs w:val="22"/>
        </w:rPr>
        <w:t>,</w:t>
      </w:r>
      <w:r w:rsidRPr="00F0514A">
        <w:rPr>
          <w:rFonts w:ascii="Avenir Next LT Pro" w:hAnsi="Avenir Next LT Pro" w:cs="Helvetica55Roman"/>
          <w:color w:val="000000"/>
          <w:sz w:val="22"/>
          <w:szCs w:val="22"/>
        </w:rPr>
        <w:t xml:space="preserve"> potentially differing weather conditions may impact upon travel behaviours each year, although the phrasing of the question – ‘How do you usually travel to school?’ – aims to overcome this limitation as much as possible.</w:t>
      </w:r>
      <w:r w:rsidR="00922412" w:rsidRPr="00F0514A">
        <w:rPr>
          <w:rFonts w:ascii="Avenir Next LT Pro" w:hAnsi="Avenir Next LT Pro"/>
          <w:b/>
          <w:sz w:val="22"/>
          <w:szCs w:val="22"/>
        </w:rPr>
        <w:br w:type="page"/>
      </w:r>
    </w:p>
    <w:p w14:paraId="0E3FD8EE" w14:textId="77777777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/>
          <w:b/>
          <w:sz w:val="22"/>
          <w:szCs w:val="22"/>
        </w:rPr>
      </w:pPr>
      <w:r w:rsidRPr="00F0514A">
        <w:rPr>
          <w:rFonts w:ascii="Avenir Next LT Pro" w:hAnsi="Avenir Next LT Pro"/>
          <w:b/>
          <w:sz w:val="22"/>
          <w:szCs w:val="22"/>
        </w:rPr>
        <w:lastRenderedPageBreak/>
        <w:t>How do I request data?</w:t>
      </w:r>
    </w:p>
    <w:p w14:paraId="7186DB81" w14:textId="00230FE0" w:rsidR="004C4E65" w:rsidRPr="00F0514A" w:rsidRDefault="008E7AFF" w:rsidP="002A088F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You should </w:t>
      </w:r>
      <w:r w:rsidR="004C4E65" w:rsidRPr="00F0514A">
        <w:rPr>
          <w:rFonts w:ascii="Avenir Next LT Pro" w:hAnsi="Avenir Next LT Pro"/>
          <w:sz w:val="22"/>
          <w:szCs w:val="22"/>
          <w:lang w:eastAsia="en-US"/>
        </w:rPr>
        <w:t>complete a</w:t>
      </w:r>
      <w:r w:rsidR="00994730" w:rsidRPr="00F0514A">
        <w:rPr>
          <w:rFonts w:ascii="Avenir Next LT Pro" w:hAnsi="Avenir Next LT Pro"/>
          <w:sz w:val="22"/>
          <w:szCs w:val="22"/>
          <w:lang w:eastAsia="en-US"/>
        </w:rPr>
        <w:t xml:space="preserve"> data request form</w:t>
      </w:r>
      <w:r w:rsidR="004C4E65" w:rsidRPr="00F0514A">
        <w:rPr>
          <w:rFonts w:ascii="Avenir Next LT Pro" w:hAnsi="Avenir Next LT Pro"/>
          <w:sz w:val="22"/>
          <w:szCs w:val="22"/>
          <w:lang w:eastAsia="en-US"/>
        </w:rPr>
        <w:t xml:space="preserve"> and send it to the Hands Up Scotland Survey Team, within </w:t>
      </w:r>
      <w:r w:rsidR="0077724C">
        <w:rPr>
          <w:rFonts w:ascii="Avenir Next LT Pro" w:hAnsi="Avenir Next LT Pro"/>
          <w:sz w:val="22"/>
          <w:szCs w:val="22"/>
          <w:lang w:eastAsia="en-US"/>
        </w:rPr>
        <w:t xml:space="preserve">Walk Wheel Cycle Trust. 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By signing and submitting this </w:t>
      </w:r>
      <w:r w:rsidR="003D3927" w:rsidRPr="00F0514A">
        <w:rPr>
          <w:rFonts w:ascii="Avenir Next LT Pro" w:hAnsi="Avenir Next LT Pro"/>
          <w:sz w:val="22"/>
          <w:szCs w:val="22"/>
          <w:lang w:eastAsia="en-US"/>
        </w:rPr>
        <w:t>form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, you </w:t>
      </w:r>
      <w:r w:rsidR="004C4E65" w:rsidRPr="00F0514A">
        <w:rPr>
          <w:rFonts w:ascii="Avenir Next LT Pro" w:hAnsi="Avenir Next LT Pro"/>
          <w:sz w:val="22"/>
          <w:szCs w:val="22"/>
          <w:lang w:eastAsia="en-US"/>
        </w:rPr>
        <w:t xml:space="preserve">are confirming that you agree </w:t>
      </w: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to the terms and conditions as set out in the next section. </w:t>
      </w:r>
    </w:p>
    <w:p w14:paraId="5D9FCC29" w14:textId="3B62E5E0" w:rsidR="00DB5D76" w:rsidRPr="00F0514A" w:rsidRDefault="008E7AFF" w:rsidP="004C4E65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</w:rPr>
        <w:t xml:space="preserve">The </w:t>
      </w:r>
      <w:r w:rsidR="003D3927" w:rsidRPr="00F0514A">
        <w:rPr>
          <w:rFonts w:ascii="Avenir Next LT Pro" w:hAnsi="Avenir Next LT Pro"/>
          <w:sz w:val="22"/>
          <w:szCs w:val="22"/>
        </w:rPr>
        <w:t>form</w:t>
      </w:r>
      <w:r w:rsidRPr="00F0514A">
        <w:rPr>
          <w:rFonts w:ascii="Avenir Next LT Pro" w:hAnsi="Avenir Next LT Pro"/>
          <w:sz w:val="22"/>
          <w:szCs w:val="22"/>
        </w:rPr>
        <w:t xml:space="preserve"> also outlines the range of information we require to enable a decision on releasing the required information. Please submit either a signed hard copy or an electronic copy to </w:t>
      </w:r>
      <w:r w:rsidR="0077724C">
        <w:rPr>
          <w:rFonts w:ascii="Avenir Next LT Pro" w:hAnsi="Avenir Next LT Pro"/>
          <w:sz w:val="22"/>
          <w:szCs w:val="22"/>
          <w:lang w:eastAsia="en-US"/>
        </w:rPr>
        <w:t>Walk Wheel Cycle Trust</w:t>
      </w:r>
      <w:r w:rsidRPr="00F0514A">
        <w:rPr>
          <w:rFonts w:ascii="Avenir Next LT Pro" w:hAnsi="Avenir Next LT Pro"/>
          <w:sz w:val="22"/>
          <w:szCs w:val="22"/>
        </w:rPr>
        <w:t>.</w:t>
      </w:r>
    </w:p>
    <w:p w14:paraId="56683B1A" w14:textId="77777777" w:rsidR="004C4E65" w:rsidRPr="00F0514A" w:rsidRDefault="004C4E65" w:rsidP="004C4E65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  <w:lang w:eastAsia="en-US"/>
        </w:rPr>
      </w:pPr>
      <w:r w:rsidRPr="00F0514A">
        <w:rPr>
          <w:rFonts w:ascii="Avenir Next LT Pro" w:hAnsi="Avenir Next LT Pro"/>
          <w:sz w:val="22"/>
          <w:szCs w:val="22"/>
          <w:lang w:eastAsia="en-US"/>
        </w:rPr>
        <w:t xml:space="preserve">Please note, a soft copy of the form can be submitted – in which case your printed name and the date will be accepted without the need for a signature. However, the email must be submitted by the person responsible for signing the form declaration. </w:t>
      </w:r>
    </w:p>
    <w:p w14:paraId="77B03819" w14:textId="77777777" w:rsidR="008E1000" w:rsidRPr="00F0514A" w:rsidRDefault="008E1000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3E650740" w14:textId="77777777" w:rsidR="00922412" w:rsidRPr="00F0514A" w:rsidRDefault="00F30D5D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 xml:space="preserve">To submit an electronic copy, please forward it to the following email: </w:t>
      </w:r>
    </w:p>
    <w:p w14:paraId="44D3F8F1" w14:textId="39FE4B74" w:rsidR="00F30D5D" w:rsidRPr="00F0514A" w:rsidRDefault="002640F8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  <w:hyperlink r:id="rId12" w:history="1">
        <w:r>
          <w:rPr>
            <w:rStyle w:val="Hyperlink"/>
            <w:rFonts w:ascii="Avenir Next LT Pro" w:hAnsi="Avenir Next LT Pro"/>
            <w:sz w:val="22"/>
            <w:szCs w:val="22"/>
          </w:rPr>
          <w:t>HandsUpScotland@walkwheelcycletrust.org.uk</w:t>
        </w:r>
      </w:hyperlink>
    </w:p>
    <w:p w14:paraId="13021576" w14:textId="77777777" w:rsidR="00922412" w:rsidRPr="00F0514A" w:rsidRDefault="00922412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51FE1686" w14:textId="77777777" w:rsidR="00F30D5D" w:rsidRPr="00F0514A" w:rsidRDefault="00F30D5D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 xml:space="preserve">Any hard copies should be printed, signed and sent to the following address: </w:t>
      </w:r>
    </w:p>
    <w:p w14:paraId="1BB2F789" w14:textId="1323BAEE" w:rsidR="00DB5D76" w:rsidRPr="00F0514A" w:rsidRDefault="00BF72BD" w:rsidP="00922412">
      <w:pPr>
        <w:spacing w:before="165"/>
        <w:ind w:left="-540" w:right="-514"/>
        <w:jc w:val="both"/>
        <w:rPr>
          <w:rStyle w:val="Strong"/>
          <w:rFonts w:ascii="Avenir Next LT Pro" w:hAnsi="Avenir Next LT Pro"/>
          <w:b w:val="0"/>
          <w:bCs w:val="0"/>
          <w:sz w:val="22"/>
          <w:szCs w:val="22"/>
        </w:rPr>
      </w:pPr>
      <w:r w:rsidRPr="00F0514A">
        <w:rPr>
          <w:rStyle w:val="Strong"/>
          <w:rFonts w:ascii="Avenir Next LT Pro" w:hAnsi="Avenir Next LT Pro" w:cs="Arial"/>
          <w:sz w:val="22"/>
          <w:szCs w:val="22"/>
        </w:rPr>
        <w:t xml:space="preserve">FAO </w:t>
      </w:r>
      <w:r w:rsidR="0077724C">
        <w:rPr>
          <w:rStyle w:val="Strong"/>
          <w:rFonts w:ascii="Avenir Next LT Pro" w:hAnsi="Avenir Next LT Pro" w:cs="Arial"/>
          <w:sz w:val="22"/>
          <w:szCs w:val="22"/>
        </w:rPr>
        <w:t>Hands Up Scotland Survey team</w:t>
      </w:r>
      <w:r w:rsidR="00F30D5D" w:rsidRPr="00F0514A">
        <w:rPr>
          <w:rStyle w:val="Strong"/>
          <w:rFonts w:ascii="Avenir Next LT Pro" w:hAnsi="Avenir Next LT Pro" w:cs="Arial"/>
          <w:sz w:val="22"/>
          <w:szCs w:val="22"/>
        </w:rPr>
        <w:t xml:space="preserve"> </w:t>
      </w:r>
    </w:p>
    <w:p w14:paraId="3BCF08FA" w14:textId="7B6A0D1F" w:rsidR="00BF72BD" w:rsidRPr="00F0514A" w:rsidRDefault="002917AB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>Walk Wheel Cycle Trust</w:t>
      </w:r>
    </w:p>
    <w:p w14:paraId="15392F99" w14:textId="7E033CE2" w:rsidR="00814CC1" w:rsidRPr="00F0514A" w:rsidRDefault="00F83623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>1 Exchange Crescent</w:t>
      </w:r>
    </w:p>
    <w:p w14:paraId="1098403B" w14:textId="7708AE71" w:rsidR="00922412" w:rsidRPr="00F0514A" w:rsidRDefault="00F83623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>Conference Square</w:t>
      </w:r>
    </w:p>
    <w:p w14:paraId="3BE4D001" w14:textId="43C15B7C" w:rsidR="00922412" w:rsidRPr="00F0514A" w:rsidRDefault="00814CC1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>Edinburgh</w:t>
      </w:r>
    </w:p>
    <w:p w14:paraId="01D10362" w14:textId="57B640A2" w:rsidR="00922412" w:rsidRPr="00F0514A" w:rsidRDefault="00814CC1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>EH</w:t>
      </w:r>
      <w:r w:rsidR="00F83623" w:rsidRPr="00F0514A">
        <w:rPr>
          <w:rFonts w:ascii="Avenir Next LT Pro" w:hAnsi="Avenir Next LT Pro"/>
          <w:sz w:val="22"/>
          <w:szCs w:val="22"/>
        </w:rPr>
        <w:t>3 8RA</w:t>
      </w:r>
    </w:p>
    <w:p w14:paraId="4A7B87F0" w14:textId="77777777" w:rsidR="00BF72BD" w:rsidRPr="00F0514A" w:rsidRDefault="00BF72BD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001AEB05" w14:textId="77777777" w:rsidR="008E1000" w:rsidRPr="00F0514A" w:rsidRDefault="008E1000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23B6C75B" w14:textId="77777777" w:rsidR="004C4E65" w:rsidRPr="00F0514A" w:rsidRDefault="004C4E65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360AABCD" w14:textId="1EA9B948" w:rsidR="008E7AFF" w:rsidRPr="00F0514A" w:rsidRDefault="008E7AFF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 xml:space="preserve">We would expect to be able to turn around a simple dataset request in a two to three week period, though more complex </w:t>
      </w:r>
      <w:r w:rsidR="002A088F" w:rsidRPr="00F0514A">
        <w:rPr>
          <w:rFonts w:ascii="Avenir Next LT Pro" w:hAnsi="Avenir Next LT Pro"/>
          <w:sz w:val="22"/>
          <w:szCs w:val="22"/>
        </w:rPr>
        <w:t>request</w:t>
      </w:r>
      <w:r w:rsidRPr="00F0514A">
        <w:rPr>
          <w:rFonts w:ascii="Avenir Next LT Pro" w:hAnsi="Avenir Next LT Pro"/>
          <w:sz w:val="22"/>
          <w:szCs w:val="22"/>
        </w:rPr>
        <w:t>s may take longer. Please note that turnaround time will also vary depending on our available resources, particularly at busy times.</w:t>
      </w:r>
    </w:p>
    <w:p w14:paraId="526DB31C" w14:textId="77777777" w:rsidR="008E7AFF" w:rsidRPr="00F0514A" w:rsidRDefault="008E7AFF" w:rsidP="00922412">
      <w:pPr>
        <w:ind w:left="-540" w:right="-514"/>
        <w:jc w:val="both"/>
        <w:rPr>
          <w:rFonts w:ascii="Avenir Next LT Pro" w:hAnsi="Avenir Next LT Pro"/>
          <w:sz w:val="22"/>
          <w:szCs w:val="22"/>
        </w:rPr>
      </w:pPr>
    </w:p>
    <w:p w14:paraId="557D18A1" w14:textId="77777777" w:rsidR="00922412" w:rsidRPr="00F0514A" w:rsidRDefault="00922412" w:rsidP="00922412">
      <w:pPr>
        <w:spacing w:before="165" w:after="165"/>
        <w:ind w:left="-540" w:right="-514"/>
        <w:jc w:val="both"/>
        <w:rPr>
          <w:rFonts w:ascii="Avenir Next LT Pro" w:hAnsi="Avenir Next LT Pro"/>
          <w:b/>
          <w:sz w:val="22"/>
          <w:szCs w:val="22"/>
        </w:rPr>
      </w:pPr>
      <w:r w:rsidRPr="00F0514A">
        <w:rPr>
          <w:rFonts w:ascii="Avenir Next LT Pro" w:hAnsi="Avenir Next LT Pro"/>
          <w:b/>
          <w:sz w:val="22"/>
          <w:szCs w:val="22"/>
        </w:rPr>
        <w:br w:type="page"/>
      </w:r>
    </w:p>
    <w:p w14:paraId="3B26C210" w14:textId="77777777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b/>
          <w:sz w:val="22"/>
          <w:szCs w:val="22"/>
        </w:rPr>
        <w:lastRenderedPageBreak/>
        <w:t>Terms and Conditions</w:t>
      </w:r>
    </w:p>
    <w:p w14:paraId="58EFB707" w14:textId="7035D206" w:rsidR="008E7AFF" w:rsidRPr="00F0514A" w:rsidRDefault="008E7AFF" w:rsidP="00922412">
      <w:pPr>
        <w:spacing w:before="165" w:after="165"/>
        <w:ind w:left="-540" w:right="-514"/>
        <w:jc w:val="both"/>
        <w:rPr>
          <w:rFonts w:ascii="Avenir Next LT Pro" w:hAnsi="Avenir Next LT Pro"/>
          <w:sz w:val="22"/>
          <w:szCs w:val="22"/>
        </w:rPr>
      </w:pPr>
      <w:r w:rsidRPr="00F0514A">
        <w:rPr>
          <w:rFonts w:ascii="Avenir Next LT Pro" w:hAnsi="Avenir Next LT Pro"/>
          <w:sz w:val="22"/>
          <w:szCs w:val="22"/>
        </w:rPr>
        <w:t>If your data access request is successful, the relevant Hands Up Scotland data will be supplied to you by the Scottish Government under the following conditions:</w:t>
      </w:r>
    </w:p>
    <w:p w14:paraId="7F4D71DD" w14:textId="794A160E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 xml:space="preserve">The data </w:t>
      </w:r>
      <w:r w:rsidR="00D03D08" w:rsidRPr="00F0514A">
        <w:rPr>
          <w:rFonts w:ascii="Avenir Next LT Pro" w:hAnsi="Avenir Next LT Pro" w:cs="Arial"/>
          <w:sz w:val="22"/>
          <w:szCs w:val="22"/>
        </w:rPr>
        <w:t>are</w:t>
      </w:r>
      <w:r w:rsidRPr="00F0514A">
        <w:rPr>
          <w:rFonts w:ascii="Avenir Next LT Pro" w:hAnsi="Avenir Next LT Pro" w:cs="Arial"/>
          <w:sz w:val="22"/>
          <w:szCs w:val="22"/>
        </w:rPr>
        <w:t xml:space="preserve"> to be used </w:t>
      </w:r>
      <w:r w:rsidRPr="00F0514A">
        <w:rPr>
          <w:rFonts w:ascii="Avenir Next LT Pro" w:hAnsi="Avenir Next LT Pro" w:cs="Arial"/>
          <w:b/>
          <w:i/>
          <w:sz w:val="22"/>
          <w:szCs w:val="22"/>
        </w:rPr>
        <w:t>only</w:t>
      </w:r>
      <w:r w:rsidRPr="00F0514A">
        <w:rPr>
          <w:rFonts w:ascii="Avenir Next LT Pro" w:hAnsi="Avenir Next LT Pro" w:cs="Arial"/>
          <w:sz w:val="22"/>
          <w:szCs w:val="22"/>
        </w:rPr>
        <w:t xml:space="preserve"> for analysis purposes and for the requirements of the stated project;</w:t>
      </w:r>
    </w:p>
    <w:p w14:paraId="591621D2" w14:textId="77777777" w:rsidR="008E7AFF" w:rsidRPr="00F0514A" w:rsidRDefault="008E7AFF" w:rsidP="00922412">
      <w:pPr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411C5CEA" w14:textId="35ABCC81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Results of this analysis may be published, but copies of, or extracts from the data</w:t>
      </w:r>
      <w:r w:rsidR="003B306E" w:rsidRPr="00F0514A">
        <w:rPr>
          <w:rFonts w:ascii="Avenir Next LT Pro" w:hAnsi="Avenir Next LT Pro" w:cs="Arial"/>
          <w:sz w:val="22"/>
          <w:szCs w:val="22"/>
        </w:rPr>
        <w:t>,</w:t>
      </w:r>
      <w:r w:rsidRPr="00F0514A">
        <w:rPr>
          <w:rFonts w:ascii="Avenir Next LT Pro" w:hAnsi="Avenir Next LT Pro" w:cs="Arial"/>
          <w:sz w:val="22"/>
          <w:szCs w:val="22"/>
        </w:rPr>
        <w:t xml:space="preserve"> must </w:t>
      </w:r>
      <w:r w:rsidRPr="00F0514A">
        <w:rPr>
          <w:rFonts w:ascii="Avenir Next LT Pro" w:hAnsi="Avenir Next LT Pro" w:cs="Arial"/>
          <w:b/>
          <w:i/>
          <w:sz w:val="22"/>
          <w:szCs w:val="22"/>
        </w:rPr>
        <w:t>not</w:t>
      </w:r>
      <w:r w:rsidRPr="00F0514A">
        <w:rPr>
          <w:rFonts w:ascii="Avenir Next LT Pro" w:hAnsi="Avenir Next LT Pro" w:cs="Arial"/>
          <w:b/>
          <w:sz w:val="22"/>
          <w:szCs w:val="22"/>
        </w:rPr>
        <w:t xml:space="preserve"> </w:t>
      </w:r>
      <w:r w:rsidRPr="00F0514A">
        <w:rPr>
          <w:rFonts w:ascii="Avenir Next LT Pro" w:hAnsi="Avenir Next LT Pro" w:cs="Arial"/>
          <w:sz w:val="22"/>
          <w:szCs w:val="22"/>
        </w:rPr>
        <w:t>be made available to anyone other than those carrying out analysis for your specific project at</w:t>
      </w:r>
      <w:r w:rsidR="004C4E65" w:rsidRPr="00F0514A">
        <w:rPr>
          <w:rFonts w:ascii="Avenir Next LT Pro" w:hAnsi="Avenir Next LT Pro" w:cs="Arial"/>
          <w:sz w:val="22"/>
          <w:szCs w:val="22"/>
        </w:rPr>
        <w:t xml:space="preserve"> your organisation</w:t>
      </w:r>
      <w:r w:rsidR="003B306E" w:rsidRPr="00F0514A">
        <w:rPr>
          <w:rFonts w:ascii="Avenir Next LT Pro" w:hAnsi="Avenir Next LT Pro" w:cs="Arial"/>
          <w:sz w:val="22"/>
          <w:szCs w:val="22"/>
        </w:rPr>
        <w:t>.</w:t>
      </w:r>
      <w:r w:rsidR="00D03D08" w:rsidRPr="00F0514A">
        <w:rPr>
          <w:rFonts w:ascii="Avenir Next LT Pro" w:hAnsi="Avenir Next LT Pro" w:cs="Arial"/>
          <w:sz w:val="22"/>
          <w:szCs w:val="22"/>
        </w:rPr>
        <w:t xml:space="preserve"> </w:t>
      </w:r>
      <w:r w:rsidR="003B306E" w:rsidRPr="00F0514A">
        <w:rPr>
          <w:rFonts w:ascii="Avenir Next LT Pro" w:hAnsi="Avenir Next LT Pro" w:cs="Arial"/>
          <w:sz w:val="22"/>
          <w:szCs w:val="22"/>
        </w:rPr>
        <w:t>U</w:t>
      </w:r>
      <w:r w:rsidR="00571909" w:rsidRPr="00F0514A">
        <w:rPr>
          <w:rFonts w:ascii="Avenir Next LT Pro" w:hAnsi="Avenir Next LT Pro" w:cs="Arial"/>
          <w:sz w:val="22"/>
          <w:szCs w:val="22"/>
        </w:rPr>
        <w:t xml:space="preserve">nless this has been agreed with </w:t>
      </w:r>
      <w:r w:rsidR="007D3B60">
        <w:rPr>
          <w:rFonts w:ascii="Avenir Next LT Pro" w:hAnsi="Avenir Next LT Pro" w:cs="Arial"/>
          <w:sz w:val="22"/>
          <w:szCs w:val="22"/>
        </w:rPr>
        <w:t>Walk Wheel Cycle Trust</w:t>
      </w:r>
      <w:r w:rsidR="00571909" w:rsidRPr="00F0514A">
        <w:rPr>
          <w:rFonts w:ascii="Avenir Next LT Pro" w:hAnsi="Avenir Next LT Pro" w:cs="Arial"/>
          <w:sz w:val="22"/>
          <w:szCs w:val="22"/>
        </w:rPr>
        <w:t xml:space="preserve"> and the Local Authority concerned</w:t>
      </w:r>
      <w:r w:rsidRPr="00F0514A">
        <w:rPr>
          <w:rFonts w:ascii="Avenir Next LT Pro" w:hAnsi="Avenir Next LT Pro" w:cs="Arial"/>
          <w:sz w:val="22"/>
          <w:szCs w:val="22"/>
        </w:rPr>
        <w:t>;</w:t>
      </w:r>
    </w:p>
    <w:p w14:paraId="78255EDC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4CB526AA" w14:textId="3AF6D6C9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 xml:space="preserve">Any published results of </w:t>
      </w:r>
      <w:r w:rsidR="003B306E" w:rsidRPr="00F0514A">
        <w:rPr>
          <w:rFonts w:ascii="Avenir Next LT Pro" w:hAnsi="Avenir Next LT Pro" w:cs="Arial"/>
          <w:sz w:val="22"/>
          <w:szCs w:val="22"/>
        </w:rPr>
        <w:t xml:space="preserve">the </w:t>
      </w:r>
      <w:r w:rsidRPr="00F0514A">
        <w:rPr>
          <w:rFonts w:ascii="Avenir Next LT Pro" w:hAnsi="Avenir Next LT Pro" w:cs="Arial"/>
          <w:sz w:val="22"/>
          <w:szCs w:val="22"/>
        </w:rPr>
        <w:t>analysis must cite the original source of the data.</w:t>
      </w:r>
    </w:p>
    <w:p w14:paraId="5C9934A1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7C84DB67" w14:textId="1A8C9E37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The data provided must be treated as confidential</w:t>
      </w:r>
      <w:r w:rsidR="00D03D08" w:rsidRPr="00F0514A">
        <w:rPr>
          <w:rFonts w:ascii="Avenir Next LT Pro" w:hAnsi="Avenir Next LT Pro" w:cs="Arial"/>
          <w:sz w:val="22"/>
          <w:szCs w:val="22"/>
        </w:rPr>
        <w:t>,</w:t>
      </w:r>
      <w:r w:rsidRPr="00F0514A">
        <w:rPr>
          <w:rFonts w:ascii="Avenir Next LT Pro" w:hAnsi="Avenir Next LT Pro" w:cs="Arial"/>
          <w:sz w:val="22"/>
          <w:szCs w:val="22"/>
        </w:rPr>
        <w:t xml:space="preserve"> and their storage and use must</w:t>
      </w:r>
      <w:r w:rsidR="00C57FD1" w:rsidRPr="00F0514A">
        <w:rPr>
          <w:rFonts w:ascii="Avenir Next LT Pro" w:hAnsi="Avenir Next LT Pro" w:cs="Arial"/>
          <w:sz w:val="22"/>
          <w:szCs w:val="22"/>
        </w:rPr>
        <w:t xml:space="preserve"> align with General Data Protection Regulation (GDPR)</w:t>
      </w:r>
      <w:r w:rsidRPr="00F0514A">
        <w:rPr>
          <w:rFonts w:ascii="Avenir Next LT Pro" w:hAnsi="Avenir Next LT Pro" w:cs="Arial"/>
          <w:sz w:val="22"/>
          <w:szCs w:val="22"/>
        </w:rPr>
        <w:t>;</w:t>
      </w:r>
    </w:p>
    <w:p w14:paraId="0FE1F33C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6A3CFF2A" w14:textId="6E13E805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Only people working for</w:t>
      </w:r>
      <w:r w:rsidR="00D03D08" w:rsidRPr="00F0514A">
        <w:rPr>
          <w:rFonts w:ascii="Avenir Next LT Pro" w:hAnsi="Avenir Next LT Pro" w:cs="Arial"/>
          <w:sz w:val="22"/>
          <w:szCs w:val="22"/>
        </w:rPr>
        <w:t>,</w:t>
      </w:r>
      <w:r w:rsidRPr="00F0514A">
        <w:rPr>
          <w:rFonts w:ascii="Avenir Next LT Pro" w:hAnsi="Avenir Next LT Pro" w:cs="Arial"/>
          <w:sz w:val="22"/>
          <w:szCs w:val="22"/>
        </w:rPr>
        <w:t xml:space="preserve"> or with you on your specific project at</w:t>
      </w:r>
      <w:r w:rsidR="004C4E65" w:rsidRPr="00F0514A">
        <w:rPr>
          <w:rFonts w:ascii="Avenir Next LT Pro" w:hAnsi="Avenir Next LT Pro" w:cs="Arial"/>
          <w:sz w:val="22"/>
          <w:szCs w:val="22"/>
        </w:rPr>
        <w:t xml:space="preserve"> your organisation should</w:t>
      </w:r>
      <w:r w:rsidRPr="00F0514A">
        <w:rPr>
          <w:rFonts w:ascii="Avenir Next LT Pro" w:hAnsi="Avenir Next LT Pro" w:cs="Arial"/>
          <w:sz w:val="22"/>
          <w:szCs w:val="22"/>
        </w:rPr>
        <w:t xml:space="preserve"> have access to the data, and any staff given access to the data must be made aware of the conditions of its use; </w:t>
      </w:r>
    </w:p>
    <w:p w14:paraId="4115DB34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7E8737C6" w14:textId="77777777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You must provide the names of individuals who are likely to access the data prior to the data access arrangement being agreed, and complete a provided audit trail template to track access;</w:t>
      </w:r>
    </w:p>
    <w:p w14:paraId="247397A0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018C8FCC" w14:textId="77777777" w:rsidR="008E7AFF" w:rsidRPr="00F0514A" w:rsidRDefault="008E7AFF" w:rsidP="00922412">
      <w:pPr>
        <w:numPr>
          <w:ilvl w:val="1"/>
          <w:numId w:val="1"/>
        </w:numPr>
        <w:tabs>
          <w:tab w:val="clear" w:pos="1440"/>
          <w:tab w:val="num" w:pos="-180"/>
        </w:tabs>
        <w:autoSpaceDE w:val="0"/>
        <w:autoSpaceDN w:val="0"/>
        <w:adjustRightInd w:val="0"/>
        <w:ind w:left="-180" w:right="-514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 xml:space="preserve">Individuals must </w:t>
      </w:r>
      <w:r w:rsidRPr="00F0514A">
        <w:rPr>
          <w:rFonts w:ascii="Avenir Next LT Pro" w:hAnsi="Avenir Next LT Pro" w:cs="Arial"/>
          <w:b/>
          <w:i/>
          <w:sz w:val="22"/>
          <w:szCs w:val="22"/>
        </w:rPr>
        <w:t>not</w:t>
      </w:r>
      <w:r w:rsidRPr="00F0514A">
        <w:rPr>
          <w:rFonts w:ascii="Avenir Next LT Pro" w:hAnsi="Avenir Next LT Pro" w:cs="Arial"/>
          <w:sz w:val="22"/>
          <w:szCs w:val="22"/>
        </w:rPr>
        <w:t xml:space="preserve"> be identified using the results or in any outputs produced using the Hands Up Scotland dataset.</w:t>
      </w:r>
      <w:r w:rsidRPr="00F0514A">
        <w:rPr>
          <w:rFonts w:ascii="Avenir Next LT Pro" w:hAnsi="Avenir Next LT Pro" w:cs="Helvetica55Roman"/>
          <w:sz w:val="22"/>
          <w:szCs w:val="22"/>
        </w:rPr>
        <w:t xml:space="preserve"> For data confidentiality purposes, the methods of data suppression and secondary suppression detailed above in </w:t>
      </w:r>
      <w:r w:rsidRPr="00F0514A">
        <w:rPr>
          <w:rFonts w:ascii="Avenir Next LT Pro" w:hAnsi="Avenir Next LT Pro" w:cs="Helvetica55Roman"/>
          <w:b/>
          <w:sz w:val="22"/>
          <w:szCs w:val="22"/>
        </w:rPr>
        <w:t>Data Availability</w:t>
      </w:r>
      <w:r w:rsidRPr="00F0514A">
        <w:rPr>
          <w:rFonts w:ascii="Avenir Next LT Pro" w:hAnsi="Avenir Next LT Pro" w:cs="Helvetica55Roman"/>
          <w:sz w:val="22"/>
          <w:szCs w:val="22"/>
        </w:rPr>
        <w:t xml:space="preserve"> must be reflected </w:t>
      </w:r>
      <w:r w:rsidRPr="00F0514A">
        <w:rPr>
          <w:rFonts w:ascii="Avenir Next LT Pro" w:hAnsi="Avenir Next LT Pro" w:cs="Arial"/>
          <w:sz w:val="22"/>
          <w:szCs w:val="22"/>
        </w:rPr>
        <w:t>in the results or in any outputs produced using the Hands Up Scotland dataset</w:t>
      </w:r>
      <w:r w:rsidRPr="00F0514A">
        <w:rPr>
          <w:rFonts w:ascii="Avenir Next LT Pro" w:hAnsi="Avenir Next LT Pro" w:cs="Helvetica55Roman"/>
          <w:sz w:val="22"/>
          <w:szCs w:val="22"/>
        </w:rPr>
        <w:t>.</w:t>
      </w:r>
    </w:p>
    <w:p w14:paraId="08754135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1553354C" w14:textId="77777777" w:rsidR="008E7AFF" w:rsidRPr="00F0514A" w:rsidRDefault="008E7AFF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All data should be deleted on completion of the project, covering both the original data transferred and any subsequent copies you produce;</w:t>
      </w:r>
    </w:p>
    <w:p w14:paraId="34305593" w14:textId="77777777" w:rsidR="008E7AFF" w:rsidRPr="00F0514A" w:rsidRDefault="008E7AFF" w:rsidP="00922412">
      <w:pPr>
        <w:tabs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16"/>
          <w:szCs w:val="16"/>
        </w:rPr>
      </w:pPr>
    </w:p>
    <w:p w14:paraId="3D4FC9FF" w14:textId="6FDF6E0F" w:rsidR="002F24F3" w:rsidRPr="00F0514A" w:rsidRDefault="007D3B60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>
        <w:rPr>
          <w:rFonts w:ascii="Avenir Next LT Pro" w:hAnsi="Avenir Next LT Pro" w:cs="Arial"/>
          <w:sz w:val="22"/>
          <w:szCs w:val="22"/>
        </w:rPr>
        <w:t>Walk Wheel Cycle Trust</w:t>
      </w:r>
      <w:r w:rsidR="002F24F3" w:rsidRPr="00F0514A">
        <w:rPr>
          <w:rFonts w:ascii="Avenir Next LT Pro" w:hAnsi="Avenir Next LT Pro" w:cs="Arial"/>
          <w:sz w:val="22"/>
          <w:szCs w:val="22"/>
        </w:rPr>
        <w:t xml:space="preserve"> should be kept informed of any outputs arising from the follow-up research using the Hands Up Scotland email address (</w:t>
      </w:r>
      <w:hyperlink r:id="rId13" w:history="1">
        <w:r w:rsidR="00323E9D">
          <w:rPr>
            <w:rStyle w:val="Hyperlink"/>
            <w:rFonts w:ascii="Avenir Next LT Pro" w:hAnsi="Avenir Next LT Pro" w:cs="Arial"/>
            <w:sz w:val="22"/>
            <w:szCs w:val="22"/>
          </w:rPr>
          <w:t>HandsUpScotland@walkwheelcycletrust.org.uk</w:t>
        </w:r>
      </w:hyperlink>
      <w:r w:rsidR="002F24F3" w:rsidRPr="00F0514A">
        <w:rPr>
          <w:rFonts w:ascii="Avenir Next LT Pro" w:hAnsi="Avenir Next LT Pro" w:cs="Arial"/>
          <w:sz w:val="22"/>
          <w:szCs w:val="22"/>
        </w:rPr>
        <w:t xml:space="preserve">). </w:t>
      </w:r>
    </w:p>
    <w:p w14:paraId="390518D0" w14:textId="77777777" w:rsidR="002F24F3" w:rsidRPr="00F0514A" w:rsidRDefault="002F24F3" w:rsidP="00922412">
      <w:pPr>
        <w:pStyle w:val="ListParagraph"/>
        <w:jc w:val="both"/>
        <w:rPr>
          <w:rFonts w:ascii="Avenir Next LT Pro" w:hAnsi="Avenir Next LT Pro"/>
          <w:sz w:val="22"/>
          <w:szCs w:val="22"/>
          <w:lang w:eastAsia="en-US"/>
        </w:rPr>
      </w:pPr>
    </w:p>
    <w:p w14:paraId="1395A534" w14:textId="737CE10E" w:rsidR="00571909" w:rsidRPr="00F0514A" w:rsidRDefault="00577213" w:rsidP="00922412">
      <w:pPr>
        <w:numPr>
          <w:ilvl w:val="0"/>
          <w:numId w:val="1"/>
        </w:numPr>
        <w:tabs>
          <w:tab w:val="clear" w:pos="363"/>
          <w:tab w:val="num" w:pos="-180"/>
        </w:tabs>
        <w:ind w:left="-180" w:right="-514" w:hanging="360"/>
        <w:jc w:val="both"/>
        <w:rPr>
          <w:rFonts w:ascii="Avenir Next LT Pro" w:hAnsi="Avenir Next LT Pro" w:cs="Arial"/>
          <w:sz w:val="22"/>
          <w:szCs w:val="22"/>
        </w:rPr>
      </w:pPr>
      <w:r w:rsidRPr="00F0514A">
        <w:rPr>
          <w:rFonts w:ascii="Avenir Next LT Pro" w:hAnsi="Avenir Next LT Pro" w:cs="Arial"/>
          <w:sz w:val="22"/>
          <w:szCs w:val="22"/>
        </w:rPr>
        <w:t>The results from</w:t>
      </w:r>
      <w:r w:rsidR="00571909" w:rsidRPr="00F0514A">
        <w:rPr>
          <w:rFonts w:ascii="Avenir Next LT Pro" w:hAnsi="Avenir Next LT Pro" w:cs="Arial"/>
          <w:sz w:val="22"/>
          <w:szCs w:val="22"/>
        </w:rPr>
        <w:t xml:space="preserve"> any analysis must be shared with </w:t>
      </w:r>
      <w:r w:rsidR="00323E9D">
        <w:rPr>
          <w:rFonts w:ascii="Avenir Next LT Pro" w:hAnsi="Avenir Next LT Pro" w:cs="Arial"/>
          <w:sz w:val="22"/>
          <w:szCs w:val="22"/>
        </w:rPr>
        <w:t>Walk Wheel Cycle Trust</w:t>
      </w:r>
      <w:r w:rsidR="00323E9D" w:rsidRPr="00F0514A">
        <w:rPr>
          <w:rFonts w:ascii="Avenir Next LT Pro" w:hAnsi="Avenir Next LT Pro" w:cs="Arial"/>
          <w:sz w:val="22"/>
          <w:szCs w:val="22"/>
        </w:rPr>
        <w:t xml:space="preserve"> </w:t>
      </w:r>
      <w:r w:rsidR="00571909" w:rsidRPr="00F0514A">
        <w:rPr>
          <w:rFonts w:ascii="Avenir Next LT Pro" w:hAnsi="Avenir Next LT Pro" w:cs="Arial"/>
          <w:sz w:val="22"/>
          <w:szCs w:val="22"/>
        </w:rPr>
        <w:t>and the Local Authorities concerned 3 working days prior to being published in the media to give the opportunity for a quoted response to be included in an accompanying article.</w:t>
      </w:r>
    </w:p>
    <w:p w14:paraId="6EEF73DC" w14:textId="77777777" w:rsidR="00DD4D53" w:rsidRPr="00F0514A" w:rsidRDefault="00DD4D53" w:rsidP="00922412">
      <w:pPr>
        <w:ind w:right="-514"/>
        <w:jc w:val="both"/>
        <w:rPr>
          <w:rFonts w:ascii="Avenir Next LT Pro" w:hAnsi="Avenir Next LT Pro"/>
          <w:b/>
          <w:sz w:val="22"/>
          <w:szCs w:val="22"/>
          <w:lang w:eastAsia="en-US"/>
        </w:rPr>
      </w:pPr>
    </w:p>
    <w:p w14:paraId="733CB30F" w14:textId="77777777" w:rsidR="003D3927" w:rsidRPr="00F0514A" w:rsidRDefault="003D3927" w:rsidP="00922412">
      <w:pPr>
        <w:ind w:left="-540" w:right="-514"/>
        <w:jc w:val="both"/>
        <w:rPr>
          <w:rFonts w:ascii="Avenir Next LT Pro" w:hAnsi="Avenir Next LT Pro"/>
          <w:b/>
          <w:sz w:val="22"/>
          <w:szCs w:val="22"/>
          <w:lang w:eastAsia="en-US"/>
        </w:rPr>
      </w:pPr>
    </w:p>
    <w:p w14:paraId="7AAE3544" w14:textId="77777777" w:rsidR="003D3927" w:rsidRPr="00F0514A" w:rsidRDefault="003D3927" w:rsidP="00922412">
      <w:pPr>
        <w:ind w:left="-540" w:right="-514"/>
        <w:jc w:val="both"/>
        <w:rPr>
          <w:rFonts w:ascii="Avenir Next LT Pro" w:hAnsi="Avenir Next LT Pro"/>
          <w:b/>
          <w:sz w:val="22"/>
          <w:szCs w:val="22"/>
          <w:lang w:eastAsia="en-US"/>
        </w:rPr>
      </w:pPr>
    </w:p>
    <w:p w14:paraId="4746C10A" w14:textId="77777777" w:rsidR="00323E9D" w:rsidRDefault="00323E9D" w:rsidP="00D03D08">
      <w:pPr>
        <w:ind w:right="-514"/>
        <w:rPr>
          <w:rFonts w:ascii="Avenir Next LT Pro" w:hAnsi="Avenir Next LT Pro"/>
          <w:b/>
          <w:sz w:val="22"/>
          <w:szCs w:val="22"/>
          <w:lang w:eastAsia="en-US"/>
        </w:rPr>
      </w:pPr>
      <w:r w:rsidRPr="00323E9D">
        <w:rPr>
          <w:rFonts w:ascii="Avenir Next LT Pro" w:hAnsi="Avenir Next LT Pro"/>
          <w:b/>
          <w:sz w:val="22"/>
          <w:szCs w:val="22"/>
          <w:lang w:eastAsia="en-US"/>
        </w:rPr>
        <w:t xml:space="preserve">Walk Wheel Cycle Trust </w:t>
      </w:r>
    </w:p>
    <w:p w14:paraId="01CFCF03" w14:textId="27F16C28" w:rsidR="0077571A" w:rsidRPr="00F0514A" w:rsidRDefault="00323E9D" w:rsidP="00D03D08">
      <w:pPr>
        <w:ind w:right="-514"/>
        <w:rPr>
          <w:rFonts w:ascii="Avenir Next LT Pro" w:hAnsi="Avenir Next LT Pro"/>
          <w:sz w:val="22"/>
          <w:szCs w:val="22"/>
        </w:rPr>
      </w:pPr>
      <w:hyperlink r:id="rId14" w:history="1">
        <w:r>
          <w:rPr>
            <w:rStyle w:val="Hyperlink"/>
            <w:rFonts w:ascii="Avenir Next LT Pro" w:hAnsi="Avenir Next LT Pro" w:cs="Arial"/>
            <w:sz w:val="22"/>
            <w:szCs w:val="22"/>
          </w:rPr>
          <w:t>http://www.walkwheelcycletrust.org.uk/</w:t>
        </w:r>
      </w:hyperlink>
    </w:p>
    <w:sectPr w:rsidR="0077571A" w:rsidRPr="00F051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Helvetica55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0D1E"/>
    <w:multiLevelType w:val="hybridMultilevel"/>
    <w:tmpl w:val="5626637A"/>
    <w:lvl w:ilvl="0" w:tplc="5B58D0FE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</w:rPr>
    </w:lvl>
    <w:lvl w:ilvl="1" w:tplc="B4A839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093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AFF"/>
    <w:rsid w:val="00003FF4"/>
    <w:rsid w:val="0000635E"/>
    <w:rsid w:val="00006CFF"/>
    <w:rsid w:val="00010297"/>
    <w:rsid w:val="000111B5"/>
    <w:rsid w:val="0002280A"/>
    <w:rsid w:val="00032BC0"/>
    <w:rsid w:val="00037784"/>
    <w:rsid w:val="0004431F"/>
    <w:rsid w:val="0004571F"/>
    <w:rsid w:val="00045DD3"/>
    <w:rsid w:val="00046AE3"/>
    <w:rsid w:val="00056CC1"/>
    <w:rsid w:val="0008022B"/>
    <w:rsid w:val="00082357"/>
    <w:rsid w:val="00084456"/>
    <w:rsid w:val="000A76FE"/>
    <w:rsid w:val="000B30E3"/>
    <w:rsid w:val="000C20B5"/>
    <w:rsid w:val="000C5339"/>
    <w:rsid w:val="000E1D79"/>
    <w:rsid w:val="000E59A7"/>
    <w:rsid w:val="0010110D"/>
    <w:rsid w:val="001013C7"/>
    <w:rsid w:val="00117B51"/>
    <w:rsid w:val="00121C36"/>
    <w:rsid w:val="001314A4"/>
    <w:rsid w:val="00140E6B"/>
    <w:rsid w:val="00141512"/>
    <w:rsid w:val="0014567D"/>
    <w:rsid w:val="00150D58"/>
    <w:rsid w:val="00155B40"/>
    <w:rsid w:val="00157C00"/>
    <w:rsid w:val="00175D84"/>
    <w:rsid w:val="0017610D"/>
    <w:rsid w:val="00182ADA"/>
    <w:rsid w:val="00185D5B"/>
    <w:rsid w:val="00193C73"/>
    <w:rsid w:val="001A3786"/>
    <w:rsid w:val="001A5592"/>
    <w:rsid w:val="001B3D62"/>
    <w:rsid w:val="001C16FF"/>
    <w:rsid w:val="001C199D"/>
    <w:rsid w:val="001C1ABE"/>
    <w:rsid w:val="001E0ED2"/>
    <w:rsid w:val="001E12A9"/>
    <w:rsid w:val="001F6335"/>
    <w:rsid w:val="0020537E"/>
    <w:rsid w:val="00215BB2"/>
    <w:rsid w:val="00215E51"/>
    <w:rsid w:val="002177AB"/>
    <w:rsid w:val="00224C44"/>
    <w:rsid w:val="002254A7"/>
    <w:rsid w:val="0024031C"/>
    <w:rsid w:val="0024561D"/>
    <w:rsid w:val="00256428"/>
    <w:rsid w:val="00262C7C"/>
    <w:rsid w:val="002640F8"/>
    <w:rsid w:val="00274303"/>
    <w:rsid w:val="002777FF"/>
    <w:rsid w:val="00280DA9"/>
    <w:rsid w:val="002838CA"/>
    <w:rsid w:val="0028492F"/>
    <w:rsid w:val="002917AB"/>
    <w:rsid w:val="002A088F"/>
    <w:rsid w:val="002B57A7"/>
    <w:rsid w:val="002C20FB"/>
    <w:rsid w:val="002C24B7"/>
    <w:rsid w:val="002C4A94"/>
    <w:rsid w:val="002C7400"/>
    <w:rsid w:val="002C7765"/>
    <w:rsid w:val="002D2C76"/>
    <w:rsid w:val="002D63B0"/>
    <w:rsid w:val="002D66B3"/>
    <w:rsid w:val="002E1BD3"/>
    <w:rsid w:val="002E254A"/>
    <w:rsid w:val="002E3459"/>
    <w:rsid w:val="002E42AA"/>
    <w:rsid w:val="002E47AA"/>
    <w:rsid w:val="002E5AFB"/>
    <w:rsid w:val="002F1462"/>
    <w:rsid w:val="002F24F3"/>
    <w:rsid w:val="002F308B"/>
    <w:rsid w:val="002F7385"/>
    <w:rsid w:val="002F74A8"/>
    <w:rsid w:val="00303F5D"/>
    <w:rsid w:val="0030461B"/>
    <w:rsid w:val="0031597F"/>
    <w:rsid w:val="003222E9"/>
    <w:rsid w:val="00323E9D"/>
    <w:rsid w:val="003241E2"/>
    <w:rsid w:val="003361F0"/>
    <w:rsid w:val="003456EA"/>
    <w:rsid w:val="00351F45"/>
    <w:rsid w:val="003555DC"/>
    <w:rsid w:val="00355CB1"/>
    <w:rsid w:val="003564E0"/>
    <w:rsid w:val="00395FE3"/>
    <w:rsid w:val="00396F4B"/>
    <w:rsid w:val="003A12E1"/>
    <w:rsid w:val="003A5E6C"/>
    <w:rsid w:val="003B306E"/>
    <w:rsid w:val="003C5473"/>
    <w:rsid w:val="003C6404"/>
    <w:rsid w:val="003D1C6D"/>
    <w:rsid w:val="003D3927"/>
    <w:rsid w:val="003D3F66"/>
    <w:rsid w:val="003D770A"/>
    <w:rsid w:val="003E1F09"/>
    <w:rsid w:val="003E3B2B"/>
    <w:rsid w:val="003F6D39"/>
    <w:rsid w:val="003F7398"/>
    <w:rsid w:val="00414213"/>
    <w:rsid w:val="0041474A"/>
    <w:rsid w:val="00416D97"/>
    <w:rsid w:val="00425B50"/>
    <w:rsid w:val="00426205"/>
    <w:rsid w:val="004266B3"/>
    <w:rsid w:val="00426766"/>
    <w:rsid w:val="0042780B"/>
    <w:rsid w:val="004279C6"/>
    <w:rsid w:val="00446F6D"/>
    <w:rsid w:val="00450725"/>
    <w:rsid w:val="00452EC2"/>
    <w:rsid w:val="00457599"/>
    <w:rsid w:val="00457F4E"/>
    <w:rsid w:val="00470336"/>
    <w:rsid w:val="00472602"/>
    <w:rsid w:val="00472DA0"/>
    <w:rsid w:val="00474117"/>
    <w:rsid w:val="00484C6E"/>
    <w:rsid w:val="004A5DBD"/>
    <w:rsid w:val="004A604C"/>
    <w:rsid w:val="004A6CAB"/>
    <w:rsid w:val="004B2771"/>
    <w:rsid w:val="004C28C0"/>
    <w:rsid w:val="004C4E65"/>
    <w:rsid w:val="004C5F0F"/>
    <w:rsid w:val="004D3AF7"/>
    <w:rsid w:val="0050358D"/>
    <w:rsid w:val="005067DC"/>
    <w:rsid w:val="005102FF"/>
    <w:rsid w:val="00521A9F"/>
    <w:rsid w:val="00524863"/>
    <w:rsid w:val="005257B6"/>
    <w:rsid w:val="00530291"/>
    <w:rsid w:val="005310E1"/>
    <w:rsid w:val="00537DFA"/>
    <w:rsid w:val="00542CA2"/>
    <w:rsid w:val="00544FBF"/>
    <w:rsid w:val="00553089"/>
    <w:rsid w:val="00557BAB"/>
    <w:rsid w:val="00562142"/>
    <w:rsid w:val="00562CA6"/>
    <w:rsid w:val="0056570B"/>
    <w:rsid w:val="005710AF"/>
    <w:rsid w:val="00571119"/>
    <w:rsid w:val="00571909"/>
    <w:rsid w:val="005734F9"/>
    <w:rsid w:val="00577213"/>
    <w:rsid w:val="00590111"/>
    <w:rsid w:val="005905C1"/>
    <w:rsid w:val="00592363"/>
    <w:rsid w:val="005B4DBB"/>
    <w:rsid w:val="005B6795"/>
    <w:rsid w:val="005C3BDB"/>
    <w:rsid w:val="005C5981"/>
    <w:rsid w:val="005C7AC4"/>
    <w:rsid w:val="005D6AF3"/>
    <w:rsid w:val="005E194C"/>
    <w:rsid w:val="005E36F5"/>
    <w:rsid w:val="005E7072"/>
    <w:rsid w:val="005F0054"/>
    <w:rsid w:val="005F2A4C"/>
    <w:rsid w:val="005F590A"/>
    <w:rsid w:val="0060530E"/>
    <w:rsid w:val="006056DE"/>
    <w:rsid w:val="00611B52"/>
    <w:rsid w:val="00615366"/>
    <w:rsid w:val="00615454"/>
    <w:rsid w:val="006223F4"/>
    <w:rsid w:val="00630D70"/>
    <w:rsid w:val="00631E8C"/>
    <w:rsid w:val="0064091D"/>
    <w:rsid w:val="00642AF6"/>
    <w:rsid w:val="006550D6"/>
    <w:rsid w:val="00657C55"/>
    <w:rsid w:val="00671EBE"/>
    <w:rsid w:val="00684F1C"/>
    <w:rsid w:val="006A02DC"/>
    <w:rsid w:val="006B106D"/>
    <w:rsid w:val="006B2B69"/>
    <w:rsid w:val="006B5D80"/>
    <w:rsid w:val="006C49DC"/>
    <w:rsid w:val="006C4A8D"/>
    <w:rsid w:val="006D3782"/>
    <w:rsid w:val="006E5BF2"/>
    <w:rsid w:val="006F296E"/>
    <w:rsid w:val="00703778"/>
    <w:rsid w:val="00720C48"/>
    <w:rsid w:val="00723BC4"/>
    <w:rsid w:val="007323CC"/>
    <w:rsid w:val="0074014E"/>
    <w:rsid w:val="00742AFE"/>
    <w:rsid w:val="00743050"/>
    <w:rsid w:val="00747883"/>
    <w:rsid w:val="00762A0A"/>
    <w:rsid w:val="00773F33"/>
    <w:rsid w:val="0077571A"/>
    <w:rsid w:val="00776B40"/>
    <w:rsid w:val="0077724C"/>
    <w:rsid w:val="00796A95"/>
    <w:rsid w:val="007A0F8E"/>
    <w:rsid w:val="007B06B0"/>
    <w:rsid w:val="007C3051"/>
    <w:rsid w:val="007C596F"/>
    <w:rsid w:val="007C6329"/>
    <w:rsid w:val="007D3B60"/>
    <w:rsid w:val="007E3DEC"/>
    <w:rsid w:val="007E4515"/>
    <w:rsid w:val="007E5928"/>
    <w:rsid w:val="007F4847"/>
    <w:rsid w:val="007F7AE0"/>
    <w:rsid w:val="00805AAA"/>
    <w:rsid w:val="00814CC1"/>
    <w:rsid w:val="00815C48"/>
    <w:rsid w:val="00816464"/>
    <w:rsid w:val="00827652"/>
    <w:rsid w:val="00827DE7"/>
    <w:rsid w:val="00842BF9"/>
    <w:rsid w:val="00844AD6"/>
    <w:rsid w:val="00844BC1"/>
    <w:rsid w:val="00856277"/>
    <w:rsid w:val="00856AD0"/>
    <w:rsid w:val="00861E92"/>
    <w:rsid w:val="00862292"/>
    <w:rsid w:val="008873D5"/>
    <w:rsid w:val="00887C44"/>
    <w:rsid w:val="008A3447"/>
    <w:rsid w:val="008B2407"/>
    <w:rsid w:val="008B7DCA"/>
    <w:rsid w:val="008C6BFA"/>
    <w:rsid w:val="008D1FFC"/>
    <w:rsid w:val="008D5570"/>
    <w:rsid w:val="008E1000"/>
    <w:rsid w:val="008E2269"/>
    <w:rsid w:val="008E3903"/>
    <w:rsid w:val="008E530D"/>
    <w:rsid w:val="008E5C9C"/>
    <w:rsid w:val="008E7AFF"/>
    <w:rsid w:val="008F2962"/>
    <w:rsid w:val="00902FFE"/>
    <w:rsid w:val="00903AF9"/>
    <w:rsid w:val="00904D72"/>
    <w:rsid w:val="0090648E"/>
    <w:rsid w:val="009129B3"/>
    <w:rsid w:val="009220B9"/>
    <w:rsid w:val="00922412"/>
    <w:rsid w:val="00924AD2"/>
    <w:rsid w:val="00945DFA"/>
    <w:rsid w:val="0095278E"/>
    <w:rsid w:val="00963325"/>
    <w:rsid w:val="00972F53"/>
    <w:rsid w:val="00976CF9"/>
    <w:rsid w:val="00976F8B"/>
    <w:rsid w:val="00980C9F"/>
    <w:rsid w:val="00986A86"/>
    <w:rsid w:val="009879F0"/>
    <w:rsid w:val="00991A8D"/>
    <w:rsid w:val="00994730"/>
    <w:rsid w:val="00996960"/>
    <w:rsid w:val="009A0777"/>
    <w:rsid w:val="009A140F"/>
    <w:rsid w:val="009A3EA2"/>
    <w:rsid w:val="009B1EA8"/>
    <w:rsid w:val="009D1BD5"/>
    <w:rsid w:val="009D3EBF"/>
    <w:rsid w:val="009E15F9"/>
    <w:rsid w:val="009E56BC"/>
    <w:rsid w:val="009F6A8B"/>
    <w:rsid w:val="00A02039"/>
    <w:rsid w:val="00A020B2"/>
    <w:rsid w:val="00A07497"/>
    <w:rsid w:val="00A10E3B"/>
    <w:rsid w:val="00A206C6"/>
    <w:rsid w:val="00A227F5"/>
    <w:rsid w:val="00A23383"/>
    <w:rsid w:val="00A35D14"/>
    <w:rsid w:val="00A72682"/>
    <w:rsid w:val="00A73B55"/>
    <w:rsid w:val="00A87D40"/>
    <w:rsid w:val="00AA352C"/>
    <w:rsid w:val="00AA4EF1"/>
    <w:rsid w:val="00AB0FA4"/>
    <w:rsid w:val="00AB3E25"/>
    <w:rsid w:val="00AB41C0"/>
    <w:rsid w:val="00AC5A40"/>
    <w:rsid w:val="00AC627A"/>
    <w:rsid w:val="00AD172F"/>
    <w:rsid w:val="00AF61F6"/>
    <w:rsid w:val="00B00A88"/>
    <w:rsid w:val="00B02832"/>
    <w:rsid w:val="00B07013"/>
    <w:rsid w:val="00B10E5A"/>
    <w:rsid w:val="00B13E6A"/>
    <w:rsid w:val="00B20863"/>
    <w:rsid w:val="00B33952"/>
    <w:rsid w:val="00B35D69"/>
    <w:rsid w:val="00B37DD3"/>
    <w:rsid w:val="00B42239"/>
    <w:rsid w:val="00B47B9C"/>
    <w:rsid w:val="00B50C18"/>
    <w:rsid w:val="00B52C74"/>
    <w:rsid w:val="00B53D47"/>
    <w:rsid w:val="00B57F34"/>
    <w:rsid w:val="00B64480"/>
    <w:rsid w:val="00B700A4"/>
    <w:rsid w:val="00B7281C"/>
    <w:rsid w:val="00B73BA2"/>
    <w:rsid w:val="00B823BA"/>
    <w:rsid w:val="00B85AAB"/>
    <w:rsid w:val="00B85B08"/>
    <w:rsid w:val="00B938B7"/>
    <w:rsid w:val="00BA5285"/>
    <w:rsid w:val="00BA74EB"/>
    <w:rsid w:val="00BC0665"/>
    <w:rsid w:val="00BC06ED"/>
    <w:rsid w:val="00BC2CF9"/>
    <w:rsid w:val="00BD4BAC"/>
    <w:rsid w:val="00BE06A5"/>
    <w:rsid w:val="00BF2D36"/>
    <w:rsid w:val="00BF2E28"/>
    <w:rsid w:val="00BF4E61"/>
    <w:rsid w:val="00BF6641"/>
    <w:rsid w:val="00BF72BD"/>
    <w:rsid w:val="00C0577D"/>
    <w:rsid w:val="00C05915"/>
    <w:rsid w:val="00C123C4"/>
    <w:rsid w:val="00C208D3"/>
    <w:rsid w:val="00C21E19"/>
    <w:rsid w:val="00C23534"/>
    <w:rsid w:val="00C2415C"/>
    <w:rsid w:val="00C318F8"/>
    <w:rsid w:val="00C34CDA"/>
    <w:rsid w:val="00C37719"/>
    <w:rsid w:val="00C37DB6"/>
    <w:rsid w:val="00C53B73"/>
    <w:rsid w:val="00C54CC3"/>
    <w:rsid w:val="00C57FD1"/>
    <w:rsid w:val="00C6662B"/>
    <w:rsid w:val="00C75361"/>
    <w:rsid w:val="00C76560"/>
    <w:rsid w:val="00C948F4"/>
    <w:rsid w:val="00C95477"/>
    <w:rsid w:val="00CA2CF4"/>
    <w:rsid w:val="00CB202B"/>
    <w:rsid w:val="00CC7457"/>
    <w:rsid w:val="00CD53B9"/>
    <w:rsid w:val="00CD53F9"/>
    <w:rsid w:val="00D03D08"/>
    <w:rsid w:val="00D06AC1"/>
    <w:rsid w:val="00D57425"/>
    <w:rsid w:val="00D63DC7"/>
    <w:rsid w:val="00D64245"/>
    <w:rsid w:val="00D67C6B"/>
    <w:rsid w:val="00D7718F"/>
    <w:rsid w:val="00D83970"/>
    <w:rsid w:val="00D87BBD"/>
    <w:rsid w:val="00D87EBC"/>
    <w:rsid w:val="00DB2C65"/>
    <w:rsid w:val="00DB5D76"/>
    <w:rsid w:val="00DC3B7F"/>
    <w:rsid w:val="00DD0500"/>
    <w:rsid w:val="00DD1A6D"/>
    <w:rsid w:val="00DD4D53"/>
    <w:rsid w:val="00DE2F8E"/>
    <w:rsid w:val="00DE4DF8"/>
    <w:rsid w:val="00E0094D"/>
    <w:rsid w:val="00E0189F"/>
    <w:rsid w:val="00E0577A"/>
    <w:rsid w:val="00E06710"/>
    <w:rsid w:val="00E26CCF"/>
    <w:rsid w:val="00E3060E"/>
    <w:rsid w:val="00E364D9"/>
    <w:rsid w:val="00E5274F"/>
    <w:rsid w:val="00E7320E"/>
    <w:rsid w:val="00E765CD"/>
    <w:rsid w:val="00E804AE"/>
    <w:rsid w:val="00E80D37"/>
    <w:rsid w:val="00E854AB"/>
    <w:rsid w:val="00E9189D"/>
    <w:rsid w:val="00E95E6C"/>
    <w:rsid w:val="00E95F50"/>
    <w:rsid w:val="00EA3A8B"/>
    <w:rsid w:val="00EA5B8A"/>
    <w:rsid w:val="00EB16C1"/>
    <w:rsid w:val="00EB2B54"/>
    <w:rsid w:val="00EC0291"/>
    <w:rsid w:val="00EC0F7F"/>
    <w:rsid w:val="00EC157D"/>
    <w:rsid w:val="00EC2040"/>
    <w:rsid w:val="00EC6CF2"/>
    <w:rsid w:val="00ED11E7"/>
    <w:rsid w:val="00ED274D"/>
    <w:rsid w:val="00EE22B3"/>
    <w:rsid w:val="00EE238E"/>
    <w:rsid w:val="00EE30BA"/>
    <w:rsid w:val="00EF1228"/>
    <w:rsid w:val="00EF1BD9"/>
    <w:rsid w:val="00EF3A2E"/>
    <w:rsid w:val="00EF4D54"/>
    <w:rsid w:val="00EF65E1"/>
    <w:rsid w:val="00EF7308"/>
    <w:rsid w:val="00F024BE"/>
    <w:rsid w:val="00F0409D"/>
    <w:rsid w:val="00F0514A"/>
    <w:rsid w:val="00F13937"/>
    <w:rsid w:val="00F14BA8"/>
    <w:rsid w:val="00F21732"/>
    <w:rsid w:val="00F21E76"/>
    <w:rsid w:val="00F21F4D"/>
    <w:rsid w:val="00F2665F"/>
    <w:rsid w:val="00F2692E"/>
    <w:rsid w:val="00F30D5D"/>
    <w:rsid w:val="00F32DB6"/>
    <w:rsid w:val="00F33884"/>
    <w:rsid w:val="00F4279C"/>
    <w:rsid w:val="00F53042"/>
    <w:rsid w:val="00F53F0A"/>
    <w:rsid w:val="00F610B3"/>
    <w:rsid w:val="00F63892"/>
    <w:rsid w:val="00F72B19"/>
    <w:rsid w:val="00F75AFA"/>
    <w:rsid w:val="00F83623"/>
    <w:rsid w:val="00F86C08"/>
    <w:rsid w:val="00F93784"/>
    <w:rsid w:val="00FA1377"/>
    <w:rsid w:val="00FA342A"/>
    <w:rsid w:val="00FA7F1B"/>
    <w:rsid w:val="00FC38C1"/>
    <w:rsid w:val="00FD0E0B"/>
    <w:rsid w:val="00FD2EB0"/>
    <w:rsid w:val="00FE09F5"/>
    <w:rsid w:val="00FE1AF3"/>
    <w:rsid w:val="00FE64AE"/>
    <w:rsid w:val="00FE6AFA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0F651806"/>
  <w15:docId w15:val="{3FC53872-2FEC-4777-98A2-765926EE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7AFF"/>
    <w:rPr>
      <w:sz w:val="24"/>
      <w:szCs w:val="24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8E7AFF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  <w:outlineLvl w:val="0"/>
    </w:pPr>
    <w:rPr>
      <w:rFonts w:ascii="Arial" w:hAnsi="Arial"/>
      <w:b/>
      <w:kern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7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Outline1 Char"/>
    <w:link w:val="Heading1"/>
    <w:rsid w:val="008E7AFF"/>
    <w:rPr>
      <w:rFonts w:ascii="Arial" w:hAnsi="Arial"/>
      <w:b/>
      <w:kern w:val="24"/>
      <w:sz w:val="24"/>
      <w:lang w:val="en-GB" w:eastAsia="en-GB" w:bidi="ar-SA"/>
    </w:rPr>
  </w:style>
  <w:style w:type="character" w:styleId="Hyperlink">
    <w:name w:val="Hyperlink"/>
    <w:rsid w:val="008E7AFF"/>
    <w:rPr>
      <w:color w:val="0000FF"/>
      <w:u w:val="single"/>
    </w:rPr>
  </w:style>
  <w:style w:type="paragraph" w:styleId="NormalWeb">
    <w:name w:val="Normal (Web)"/>
    <w:basedOn w:val="Normal"/>
    <w:rsid w:val="008E7AFF"/>
    <w:pPr>
      <w:spacing w:before="100" w:beforeAutospacing="1" w:after="100" w:afterAutospacing="1"/>
    </w:pPr>
  </w:style>
  <w:style w:type="character" w:styleId="Strong">
    <w:name w:val="Strong"/>
    <w:qFormat/>
    <w:rsid w:val="008E7AFF"/>
    <w:rPr>
      <w:b/>
      <w:bCs/>
    </w:rPr>
  </w:style>
  <w:style w:type="character" w:styleId="CommentReference">
    <w:name w:val="annotation reference"/>
    <w:semiHidden/>
    <w:rsid w:val="008E7AFF"/>
    <w:rPr>
      <w:sz w:val="16"/>
      <w:szCs w:val="16"/>
    </w:rPr>
  </w:style>
  <w:style w:type="paragraph" w:styleId="CommentText">
    <w:name w:val="annotation text"/>
    <w:basedOn w:val="Normal"/>
    <w:semiHidden/>
    <w:rsid w:val="008E7AF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7AFF"/>
    <w:rPr>
      <w:b/>
      <w:bCs/>
    </w:rPr>
  </w:style>
  <w:style w:type="paragraph" w:styleId="BalloonText">
    <w:name w:val="Balloon Text"/>
    <w:basedOn w:val="Normal"/>
    <w:semiHidden/>
    <w:rsid w:val="008E7AFF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3C5473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AD172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1909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32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andsUpScotland@walkwheelcycletrus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andsUpScotland@walkwheelcycletrus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lkwheelcycletrust.org.uk/our-blog/projects/hands-up-scotland-survey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walkwheelcycletrust.org.uk/our-blog/projects/hands-up-scotland-survey/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://www.walkwheelcycletrust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97605B7C2C54A9B57336E9E4E8D61" ma:contentTypeVersion="6" ma:contentTypeDescription="Create a new document." ma:contentTypeScope="" ma:versionID="db644b2d8e94d2cabdccffeab121666f">
  <xsd:schema xmlns:xsd="http://www.w3.org/2001/XMLSchema" xmlns:xs="http://www.w3.org/2001/XMLSchema" xmlns:p="http://schemas.microsoft.com/office/2006/metadata/properties" xmlns:ns2="a3a7b9f5-dcfc-4322-9d73-f2a859d19e74" xmlns:ns3="1336fa31-e3f1-4593-981a-cfce6199f52a" targetNamespace="http://schemas.microsoft.com/office/2006/metadata/properties" ma:root="true" ma:fieldsID="86ab530a71dd29bb05ad2c1885ad9ad6" ns2:_="" ns3:_="">
    <xsd:import namespace="a3a7b9f5-dcfc-4322-9d73-f2a859d19e74"/>
    <xsd:import namespace="1336fa31-e3f1-4593-981a-cfce6199f5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7b9f5-dcfc-4322-9d73-f2a859d1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6fa31-e3f1-4593-981a-cfce6199f5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188B3-F75B-4A66-98F9-A3B9F0D04A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13A15F-E93D-4B88-9252-640199B2A8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7b9f5-dcfc-4322-9d73-f2a859d19e74"/>
    <ds:schemaRef ds:uri="1336fa31-e3f1-4593-981a-cfce6199f5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CE1DBD-DDE9-4824-81BF-AA09A4F76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C78E00-A468-409D-9880-8014C1FD5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1338</Words>
  <Characters>7628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Hands Up Scotland Data Request Guidelines</vt:lpstr>
    </vt:vector>
  </TitlesOfParts>
  <Company>Sustrans</Company>
  <LinksUpToDate>false</LinksUpToDate>
  <CharactersWithSpaces>8949</CharactersWithSpaces>
  <SharedDoc>false</SharedDoc>
  <HLinks>
    <vt:vector size="30" baseType="variant">
      <vt:variant>
        <vt:i4>3014718</vt:i4>
      </vt:variant>
      <vt:variant>
        <vt:i4>21</vt:i4>
      </vt:variant>
      <vt:variant>
        <vt:i4>0</vt:i4>
      </vt:variant>
      <vt:variant>
        <vt:i4>5</vt:i4>
      </vt:variant>
      <vt:variant>
        <vt:lpwstr>http://www.sustrans.org.uk/</vt:lpwstr>
      </vt:variant>
      <vt:variant>
        <vt:lpwstr/>
      </vt:variant>
      <vt:variant>
        <vt:i4>65570</vt:i4>
      </vt:variant>
      <vt:variant>
        <vt:i4>18</vt:i4>
      </vt:variant>
      <vt:variant>
        <vt:i4>0</vt:i4>
      </vt:variant>
      <vt:variant>
        <vt:i4>5</vt:i4>
      </vt:variant>
      <vt:variant>
        <vt:lpwstr>mailto:alison.janes@sustrans.org.uk</vt:lpwstr>
      </vt:variant>
      <vt:variant>
        <vt:lpwstr/>
      </vt:variant>
      <vt:variant>
        <vt:i4>65570</vt:i4>
      </vt:variant>
      <vt:variant>
        <vt:i4>9</vt:i4>
      </vt:variant>
      <vt:variant>
        <vt:i4>0</vt:i4>
      </vt:variant>
      <vt:variant>
        <vt:i4>5</vt:i4>
      </vt:variant>
      <vt:variant>
        <vt:lpwstr>mailto:alison.janes@sustrans.org.uk</vt:lpwstr>
      </vt:variant>
      <vt:variant>
        <vt:lpwstr/>
      </vt:variant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http://www.sustrans.org.uk/scotland/what-we-do/schools-and-universities/hands-scotland</vt:lpwstr>
      </vt:variant>
      <vt:variant>
        <vt:lpwstr/>
      </vt:variant>
      <vt:variant>
        <vt:i4>3801194</vt:i4>
      </vt:variant>
      <vt:variant>
        <vt:i4>0</vt:i4>
      </vt:variant>
      <vt:variant>
        <vt:i4>0</vt:i4>
      </vt:variant>
      <vt:variant>
        <vt:i4>5</vt:i4>
      </vt:variant>
      <vt:variant>
        <vt:lpwstr>http://www.sustrans.org.uk/scotland/what-we-do/schools-and-universities/hands-scotland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Hands Up Scotland Data Request Guidelines</dc:title>
  <dc:creator>anjali.badloe</dc:creator>
  <cp:lastModifiedBy>Matthew Pearce</cp:lastModifiedBy>
  <cp:revision>22</cp:revision>
  <cp:lastPrinted>2016-05-27T09:26:00Z</cp:lastPrinted>
  <dcterms:created xsi:type="dcterms:W3CDTF">2018-05-03T15:13:00Z</dcterms:created>
  <dcterms:modified xsi:type="dcterms:W3CDTF">2026-01-26T14:39:00Z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0x0101002EF97605B7C2C54A9B57336E9E4E8D61</vt:lpwstr>
  </property>
</Properties>
</file>